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E5CC" w14:textId="619420F6" w:rsidR="00057443" w:rsidRPr="00057443" w:rsidRDefault="00057443" w:rsidP="00626F47">
      <w:pPr>
        <w:pStyle w:val="3GPPHeader"/>
        <w:spacing w:after="60"/>
        <w:jc w:val="left"/>
        <w:rPr>
          <w:szCs w:val="24"/>
          <w:highlight w:val="yellow"/>
        </w:rPr>
      </w:pPr>
      <w:r w:rsidRPr="00057443">
        <w:rPr>
          <w:szCs w:val="24"/>
        </w:rPr>
        <w:t>3GPP TSG-RAN WG2 #123</w:t>
      </w:r>
      <w:r w:rsidRPr="00057443">
        <w:rPr>
          <w:szCs w:val="24"/>
        </w:rPr>
        <w:tab/>
      </w:r>
      <w:r w:rsidR="00957D41" w:rsidRPr="00957D41">
        <w:rPr>
          <w:szCs w:val="24"/>
        </w:rPr>
        <w:t>R2-2308542</w:t>
      </w:r>
    </w:p>
    <w:p w14:paraId="202376E3" w14:textId="2BE6F674" w:rsidR="00057443" w:rsidRPr="00CE0424" w:rsidRDefault="00057443" w:rsidP="00057443">
      <w:pPr>
        <w:pStyle w:val="3GPPHeader"/>
        <w:jc w:val="left"/>
      </w:pPr>
      <w:r w:rsidRPr="001A5AB6">
        <w:t>Toulouse, F</w:t>
      </w:r>
      <w:r>
        <w:t>rance</w:t>
      </w:r>
      <w:r w:rsidRPr="003A1456">
        <w:rPr>
          <w:rFonts w:cs="Arial"/>
          <w:szCs w:val="24"/>
        </w:rPr>
        <w:t xml:space="preserve">, </w:t>
      </w:r>
      <w:r>
        <w:rPr>
          <w:rFonts w:cs="Arial"/>
          <w:szCs w:val="24"/>
        </w:rPr>
        <w:t>Aug</w:t>
      </w:r>
      <w:r w:rsidRPr="005B3ED4">
        <w:rPr>
          <w:rFonts w:cs="Arial"/>
          <w:szCs w:val="24"/>
        </w:rPr>
        <w:t xml:space="preserve"> </w:t>
      </w:r>
      <w:r>
        <w:rPr>
          <w:rFonts w:cs="Arial"/>
          <w:szCs w:val="24"/>
        </w:rPr>
        <w:t>21</w:t>
      </w:r>
      <w:r w:rsidRPr="007D47CD">
        <w:rPr>
          <w:rFonts w:cs="Arial"/>
          <w:szCs w:val="24"/>
          <w:vertAlign w:val="superscript"/>
        </w:rPr>
        <w:t>st</w:t>
      </w:r>
      <w:r>
        <w:rPr>
          <w:rFonts w:cs="Arial"/>
          <w:szCs w:val="24"/>
        </w:rPr>
        <w:t xml:space="preserve"> </w:t>
      </w:r>
      <w:r w:rsidRPr="005B3ED4">
        <w:rPr>
          <w:rFonts w:cs="Arial"/>
          <w:szCs w:val="24"/>
        </w:rPr>
        <w:t>– 2</w:t>
      </w:r>
      <w:r>
        <w:rPr>
          <w:rFonts w:cs="Arial"/>
          <w:szCs w:val="24"/>
        </w:rPr>
        <w:t>5</w:t>
      </w:r>
      <w:r w:rsidRPr="00AD7BDF">
        <w:rPr>
          <w:rFonts w:cs="Arial"/>
          <w:szCs w:val="24"/>
          <w:vertAlign w:val="superscript"/>
        </w:rPr>
        <w:t>th</w:t>
      </w:r>
      <w:r w:rsidRPr="005B3ED4">
        <w:rPr>
          <w:rFonts w:cs="Arial"/>
          <w:szCs w:val="24"/>
        </w:rPr>
        <w:t>, 202</w:t>
      </w:r>
      <w:r>
        <w:rPr>
          <w:rFonts w:cs="Arial"/>
          <w:szCs w:val="24"/>
        </w:rPr>
        <w:t>3</w:t>
      </w:r>
      <w:r w:rsidR="00B73007">
        <w:rPr>
          <w:rFonts w:cs="Arial"/>
          <w:szCs w:val="24"/>
        </w:rPr>
        <w:tab/>
        <w:t>Revision of R2-2306951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423858" w:rsidP="00E13F3D">
            <w:pPr>
              <w:pStyle w:val="CRCoverPage"/>
              <w:spacing w:after="0"/>
              <w:jc w:val="right"/>
              <w:rPr>
                <w:b/>
                <w:noProof/>
                <w:sz w:val="28"/>
              </w:rPr>
            </w:pPr>
            <w:fldSimple w:instr=" DOCPROPERTY  Spec#  \* MERGEFORMAT ">
              <w:r w:rsidR="006017F5">
                <w:rPr>
                  <w:b/>
                  <w:noProof/>
                  <w:sz w:val="28"/>
                </w:rPr>
                <w:t>3</w:t>
              </w:r>
              <w:r w:rsidR="00487283">
                <w:rPr>
                  <w:b/>
                  <w:noProof/>
                  <w:sz w:val="28"/>
                </w:rPr>
                <w:t>6</w:t>
              </w:r>
              <w:r w:rsidR="006017F5">
                <w:rPr>
                  <w:b/>
                  <w:noProof/>
                  <w:sz w:val="28"/>
                </w:rPr>
                <w:t>.3</w:t>
              </w:r>
              <w:r w:rsidR="00487283">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FB30" w:rsidR="001E41F3" w:rsidRPr="00410371" w:rsidRDefault="000039E3" w:rsidP="00547111">
            <w:pPr>
              <w:pStyle w:val="CRCoverPage"/>
              <w:spacing w:after="0"/>
              <w:rPr>
                <w:noProof/>
              </w:rPr>
            </w:pPr>
            <w:r w:rsidRPr="000039E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9665A" w:rsidR="001E41F3" w:rsidRPr="00410371" w:rsidRDefault="00423858">
            <w:pPr>
              <w:pStyle w:val="CRCoverPage"/>
              <w:spacing w:after="0"/>
              <w:jc w:val="center"/>
              <w:rPr>
                <w:noProof/>
                <w:sz w:val="28"/>
              </w:rPr>
            </w:pPr>
            <w:fldSimple w:instr=" DOCPROPERTY  Version  \* MERGEFORMAT ">
              <w:r w:rsidR="00624394">
                <w:rPr>
                  <w:b/>
                  <w:noProof/>
                  <w:sz w:val="28"/>
                </w:rPr>
                <w:t>17.</w:t>
              </w:r>
              <w:r w:rsidR="00057443">
                <w:rPr>
                  <w:b/>
                  <w:noProof/>
                  <w:sz w:val="28"/>
                </w:rPr>
                <w:t>5</w:t>
              </w:r>
              <w:r w:rsidR="006243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C94E" w:rsidR="001E41F3" w:rsidRDefault="00EA6129">
            <w:pPr>
              <w:pStyle w:val="CRCoverPage"/>
              <w:spacing w:after="0"/>
              <w:ind w:left="100"/>
              <w:rPr>
                <w:noProof/>
              </w:rPr>
            </w:pPr>
            <w:r>
              <w:t xml:space="preserve">Running CR for </w:t>
            </w:r>
            <w:r w:rsidR="00487283">
              <w:t xml:space="preserve">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423858">
            <w:pPr>
              <w:pStyle w:val="CRCoverPage"/>
              <w:spacing w:after="0"/>
              <w:ind w:left="100"/>
              <w:rPr>
                <w:noProof/>
              </w:rPr>
            </w:pPr>
            <w:fldSimple w:instr=" DOCPROPERTY  SourceIfWg  \* MERGEFORMAT ">
              <w:r w:rsidR="00D610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423858" w:rsidP="00547111">
            <w:pPr>
              <w:pStyle w:val="CRCoverPage"/>
              <w:spacing w:after="0"/>
              <w:ind w:left="100"/>
              <w:rPr>
                <w:noProof/>
              </w:rPr>
            </w:pPr>
            <w:fldSimple w:instr=" DOCPROPERTY  SourceIfTsg  \* MERGEFORMAT ">
              <w:r w:rsidR="0062439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B73007">
            <w:pPr>
              <w:pStyle w:val="CRCoverPage"/>
              <w:spacing w:after="0"/>
              <w:ind w:left="100"/>
              <w:rPr>
                <w:noProof/>
              </w:rPr>
            </w:pPr>
            <w:fldSimple w:instr=" DOCPROPERTY  RelatedWis  \* MERGEFORMAT ">
              <w:r w:rsidR="0035025C" w:rsidRPr="0035025C">
                <w:t>IoT_NTN_enh</w:t>
              </w:r>
              <w:r w:rsidR="00FA217F">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A5E0" w:rsidR="001E41F3" w:rsidRDefault="006017F5">
            <w:pPr>
              <w:pStyle w:val="CRCoverPage"/>
              <w:spacing w:after="0"/>
              <w:ind w:left="100"/>
              <w:rPr>
                <w:noProof/>
              </w:rPr>
            </w:pPr>
            <w:r>
              <w:t>2023-0</w:t>
            </w:r>
            <w:r w:rsidR="0067638A">
              <w:t>8</w:t>
            </w:r>
            <w:r>
              <w:t>-</w:t>
            </w:r>
            <w:r w:rsidR="006763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423858">
            <w:pPr>
              <w:pStyle w:val="CRCoverPage"/>
              <w:spacing w:after="0"/>
              <w:ind w:left="100"/>
              <w:rPr>
                <w:noProof/>
              </w:rPr>
            </w:pPr>
            <w:fldSimple w:instr=" DOCPROPERTY  Release  \* MERGEFORMAT ">
              <w:r w:rsidR="006017F5">
                <w:rPr>
                  <w:noProof/>
                </w:rPr>
                <w:t>Rel-1</w:t>
              </w:r>
              <w:r w:rsidR="00EA61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1759"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enhancements</w:t>
            </w:r>
            <w:r w:rsidR="00B43F9D">
              <w:rPr>
                <w:noProof/>
              </w:rPr>
              <w:t xml:space="preserve"> in stage 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17A64766" w14:textId="086A294E" w:rsidR="00B43F9D" w:rsidRDefault="00B43F9D">
            <w:pPr>
              <w:pStyle w:val="CRCoverPage"/>
              <w:spacing w:after="0"/>
              <w:ind w:left="100"/>
            </w:pPr>
            <w:r w:rsidRPr="00B43F9D">
              <w:t>23.21.1</w:t>
            </w:r>
            <w:r>
              <w:t xml:space="preserve"> Explanation of disabled HARQ feedback and HARQ mode B added. </w:t>
            </w:r>
          </w:p>
          <w:p w14:paraId="5AF58D93" w14:textId="36499130" w:rsidR="00B43F9D" w:rsidRDefault="00B43F9D">
            <w:pPr>
              <w:pStyle w:val="CRCoverPage"/>
              <w:spacing w:after="0"/>
              <w:ind w:left="100"/>
            </w:pPr>
            <w:r w:rsidRPr="00B43F9D">
              <w:t>23.21.2.2</w:t>
            </w:r>
            <w:r>
              <w:t xml:space="preserve"> Suspension of RLM during GNSS measurement added. </w:t>
            </w:r>
          </w:p>
          <w:p w14:paraId="7BC40B9E" w14:textId="1BFD2EB5" w:rsidR="000F574D" w:rsidRDefault="00DB56BC">
            <w:pPr>
              <w:pStyle w:val="CRCoverPage"/>
              <w:spacing w:after="0"/>
              <w:ind w:left="100"/>
              <w:rPr>
                <w:noProof/>
              </w:rPr>
            </w:pPr>
            <w:r w:rsidRPr="00357DF0">
              <w:t>23.21.4.2</w:t>
            </w:r>
            <w:r>
              <w:t xml:space="preserve"> Additional triggers for CHO added</w:t>
            </w:r>
            <w:r w:rsidR="00B43F9D">
              <w:t xml:space="preserve">. </w:t>
            </w:r>
          </w:p>
          <w:p w14:paraId="081EF709" w14:textId="79570755" w:rsidR="000F574D" w:rsidRDefault="00B43F9D">
            <w:pPr>
              <w:pStyle w:val="CRCoverPage"/>
              <w:spacing w:after="0"/>
              <w:ind w:left="100"/>
              <w:rPr>
                <w:noProof/>
              </w:rPr>
            </w:pPr>
            <w:r>
              <w:rPr>
                <w:noProof/>
              </w:rPr>
              <w:t>New section “</w:t>
            </w:r>
            <w:r w:rsidRPr="00B43F9D">
              <w:rPr>
                <w:noProof/>
              </w:rPr>
              <w:t>23.21.4.X</w:t>
            </w:r>
            <w:r w:rsidRPr="00B43F9D">
              <w:rPr>
                <w:noProof/>
              </w:rPr>
              <w:tab/>
              <w:t>Measurements</w:t>
            </w:r>
            <w:r>
              <w:rPr>
                <w:noProof/>
              </w:rPr>
              <w:t>” added</w:t>
            </w: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580CF" w:rsidR="001E41F3" w:rsidRDefault="00B43F9D">
            <w:pPr>
              <w:pStyle w:val="CRCoverPage"/>
              <w:spacing w:after="0"/>
              <w:ind w:left="100"/>
              <w:rPr>
                <w:noProof/>
              </w:rPr>
            </w:pPr>
            <w:r>
              <w:rPr>
                <w:noProof/>
              </w:rPr>
              <w:t>To be updated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E1C1B" w:rsidR="001E41F3"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 TS 36.331 CRyyyy</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3AA3" w14:textId="4272D2F4" w:rsidR="008863B9" w:rsidRDefault="00057443">
            <w:pPr>
              <w:pStyle w:val="CRCoverPage"/>
              <w:spacing w:after="0"/>
              <w:ind w:left="100"/>
              <w:rPr>
                <w:noProof/>
              </w:rPr>
            </w:pPr>
            <w:r>
              <w:rPr>
                <w:noProof/>
              </w:rPr>
              <w:t xml:space="preserve">R2-2306951: </w:t>
            </w:r>
            <w:r w:rsidR="00B43F9D">
              <w:rPr>
                <w:noProof/>
              </w:rPr>
              <w:t>Additions after RAN2#122</w:t>
            </w:r>
            <w:r>
              <w:rPr>
                <w:noProof/>
              </w:rPr>
              <w:t xml:space="preserve"> in</w:t>
            </w:r>
            <w:r w:rsidR="00B73007">
              <w:rPr>
                <w:noProof/>
              </w:rPr>
              <w:t>cluded</w:t>
            </w:r>
            <w:r w:rsidR="00B43F9D">
              <w:rPr>
                <w:noProof/>
              </w:rPr>
              <w:t>.</w:t>
            </w:r>
          </w:p>
          <w:p w14:paraId="6ACA4173" w14:textId="3989E7CD" w:rsidR="00057443" w:rsidRDefault="00957D41">
            <w:pPr>
              <w:pStyle w:val="CRCoverPage"/>
              <w:spacing w:after="0"/>
              <w:ind w:left="100"/>
              <w:rPr>
                <w:noProof/>
              </w:rPr>
            </w:pPr>
            <w:r w:rsidRPr="00957D41">
              <w:rPr>
                <w:noProof/>
              </w:rPr>
              <w:t>R2-2308542</w:t>
            </w:r>
            <w:r w:rsidR="004F083B">
              <w:rPr>
                <w:noProof/>
              </w:rPr>
              <w:t xml:space="preserve">: </w:t>
            </w:r>
            <w:r w:rsidR="00057443">
              <w:rPr>
                <w:noProof/>
              </w:rPr>
              <w:t>Input to RAN2#123</w:t>
            </w:r>
            <w:r w:rsidR="00B73007">
              <w:rPr>
                <w:noProof/>
              </w:rPr>
              <w:t>:</w:t>
            </w:r>
            <w:r w:rsidR="00057443">
              <w:rPr>
                <w:noProof/>
              </w:rPr>
              <w:t xml:space="preserve"> updated to v17.5.0</w:t>
            </w:r>
            <w:r w:rsidR="00B73007">
              <w:rPr>
                <w:noProof/>
              </w:rPr>
              <w:t xml:space="preserve">, </w:t>
            </w:r>
            <w:r w:rsidR="0067638A">
              <w:rPr>
                <w:noProof/>
              </w:rPr>
              <w:t>accepted removal of “Editor’s Note”s that were marked for removal</w:t>
            </w:r>
            <w:r w:rsidR="00057443">
              <w:rPr>
                <w:noProof/>
              </w:rPr>
              <w:t>, otherwsie the same as R2-2306951.</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6AE3C280" w:rsidR="002B4F44" w:rsidRDefault="002B4F44" w:rsidP="00FA579D">
      <w:pPr>
        <w:spacing w:after="0"/>
        <w:rPr>
          <w:lang w:eastAsia="ja-JP"/>
        </w:rPr>
      </w:pPr>
    </w:p>
    <w:p w14:paraId="74B9CD17" w14:textId="77777777" w:rsidR="00057443" w:rsidRPr="00CC4CDF" w:rsidRDefault="00057443" w:rsidP="00057443">
      <w:pPr>
        <w:pStyle w:val="Heading2"/>
      </w:pPr>
      <w:bookmarkStart w:id="17" w:name="_Toc139403280"/>
      <w:r w:rsidRPr="00CC4CDF">
        <w:t>4.12</w:t>
      </w:r>
      <w:r w:rsidRPr="00CC4CDF">
        <w:tab/>
        <w:t>Support of Non-Terrestrial Networks</w:t>
      </w:r>
      <w:bookmarkEnd w:id="17"/>
    </w:p>
    <w:p w14:paraId="16FDE425" w14:textId="77777777" w:rsidR="00057443" w:rsidRPr="00CC4CDF" w:rsidRDefault="00057443" w:rsidP="00057443">
      <w:r w:rsidRPr="00CC4CDF">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25260B6D" w14:textId="77777777" w:rsidR="00057443" w:rsidRPr="00CC4CDF" w:rsidRDefault="00057443" w:rsidP="00057443">
      <w:r w:rsidRPr="00CC4CDF">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F911FFA" w14:textId="77777777" w:rsidR="00057443" w:rsidRPr="00CC4CDF" w:rsidRDefault="00057443" w:rsidP="00057443">
      <w:pPr>
        <w:pStyle w:val="TH"/>
      </w:pPr>
      <w:r w:rsidRPr="00CC4CDF">
        <w:object w:dxaOrig="5384" w:dyaOrig="6449" w14:anchorId="5F485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22.9pt" o:ole="">
            <v:imagedata r:id="rId15" o:title=""/>
            <o:lock v:ext="edit" aspectratio="f"/>
          </v:shape>
          <o:OLEObject Type="Embed" ProgID="Visio.Drawing.15" ShapeID="_x0000_i1025" DrawAspect="Content" ObjectID="_1753259862" r:id="rId16"/>
        </w:object>
      </w:r>
    </w:p>
    <w:p w14:paraId="3D848952" w14:textId="77777777" w:rsidR="00057443" w:rsidRPr="00CC4CDF" w:rsidRDefault="00057443" w:rsidP="00057443">
      <w:pPr>
        <w:pStyle w:val="TF"/>
        <w:rPr>
          <w:rFonts w:eastAsia="DengXian"/>
        </w:rPr>
      </w:pPr>
      <w:r w:rsidRPr="00CC4CDF">
        <w:rPr>
          <w:rFonts w:eastAsia="SimSun"/>
        </w:rPr>
        <w:t>Figure 4.12-1: Overall illustration of an NTN</w:t>
      </w:r>
    </w:p>
    <w:p w14:paraId="2094DDEA" w14:textId="77777777" w:rsidR="00057443" w:rsidRPr="00CC4CDF" w:rsidRDefault="00057443" w:rsidP="00057443">
      <w:pPr>
        <w:pStyle w:val="NO"/>
      </w:pPr>
      <w:r w:rsidRPr="00CC4CDF">
        <w:t>NOTE:</w:t>
      </w:r>
      <w:r w:rsidRPr="00CC4CDF">
        <w:tab/>
        <w:t>Figure 4.12-1 illustrates an NTN; RAN4 aspects are out of scope.</w:t>
      </w:r>
    </w:p>
    <w:p w14:paraId="0A122CA8" w14:textId="77777777" w:rsidR="00057443" w:rsidRPr="00CC4CDF" w:rsidRDefault="00057443" w:rsidP="00057443">
      <w:r w:rsidRPr="00CC4CDF">
        <w:t>The NTN payload transparently forwards the radio protocol received from the UE (via the service link) to the NTN Gateway (via the feeder link) and vice-versa. The following connectivity is supported by the NTN payload:</w:t>
      </w:r>
    </w:p>
    <w:p w14:paraId="7647E9EB" w14:textId="77777777" w:rsidR="00057443" w:rsidRPr="00CC4CDF" w:rsidRDefault="00057443" w:rsidP="00057443">
      <w:pPr>
        <w:pStyle w:val="B1"/>
      </w:pPr>
      <w:r w:rsidRPr="00CC4CDF">
        <w:t>-</w:t>
      </w:r>
      <w:r w:rsidRPr="00CC4CDF">
        <w:tab/>
        <w:t xml:space="preserve">An </w:t>
      </w:r>
      <w:r w:rsidRPr="00CC4CDF">
        <w:rPr>
          <w:lang w:eastAsia="zh-CN"/>
        </w:rPr>
        <w:t>e</w:t>
      </w:r>
      <w:r w:rsidRPr="00CC4CDF">
        <w:t>NB may serve multiple NTN payloads;</w:t>
      </w:r>
    </w:p>
    <w:p w14:paraId="3FE5C1C0" w14:textId="77777777" w:rsidR="00057443" w:rsidRPr="00CC4CDF" w:rsidRDefault="00057443" w:rsidP="00057443">
      <w:pPr>
        <w:pStyle w:val="B1"/>
      </w:pPr>
      <w:r w:rsidRPr="00CC4CDF">
        <w:t>-</w:t>
      </w:r>
      <w:r w:rsidRPr="00CC4CDF">
        <w:tab/>
        <w:t xml:space="preserve">An NTN payload may be served by multiple </w:t>
      </w:r>
      <w:r w:rsidRPr="00CC4CDF">
        <w:rPr>
          <w:lang w:eastAsia="zh-CN"/>
        </w:rPr>
        <w:t>e</w:t>
      </w:r>
      <w:r w:rsidRPr="00CC4CDF">
        <w:t>NBs.</w:t>
      </w:r>
    </w:p>
    <w:p w14:paraId="6C46B372" w14:textId="77777777" w:rsidR="00057443" w:rsidRPr="00CC4CDF" w:rsidRDefault="00057443" w:rsidP="00057443">
      <w:pPr>
        <w:pStyle w:val="NO"/>
      </w:pPr>
      <w:r w:rsidRPr="00CC4CDF">
        <w:t>NOTE:</w:t>
      </w:r>
      <w:r w:rsidRPr="00CC4CDF">
        <w:tab/>
        <w:t>In this release, the NTN-payload may change the carrier frequency, before re-transmitting it on the service link, and vice versa (respectively on the feeder link).</w:t>
      </w:r>
    </w:p>
    <w:p w14:paraId="6F5F0E4D" w14:textId="77777777" w:rsidR="00057443" w:rsidRPr="00CC4CDF" w:rsidRDefault="00057443" w:rsidP="00057443">
      <w:r w:rsidRPr="00CC4CDF">
        <w:t xml:space="preserve">For NTN, the following applies in addition to Network </w:t>
      </w:r>
      <w:r w:rsidRPr="00CC4CDF">
        <w:rPr>
          <w:lang w:eastAsia="zh-CN"/>
        </w:rPr>
        <w:t xml:space="preserve">entity related </w:t>
      </w:r>
      <w:r w:rsidRPr="00CC4CDF">
        <w:t>Identities as described in clause 8.2:</w:t>
      </w:r>
    </w:p>
    <w:p w14:paraId="2CB4A3C6" w14:textId="77777777" w:rsidR="00057443" w:rsidRPr="00CC4CDF" w:rsidRDefault="00057443" w:rsidP="00057443">
      <w:pPr>
        <w:pStyle w:val="B1"/>
      </w:pPr>
      <w:r w:rsidRPr="00CC4CDF">
        <w:t>-</w:t>
      </w:r>
      <w:r w:rsidRPr="00CC4CDF">
        <w:tab/>
        <w:t>A Tracking Area corresponds to a fixed geographical area. Any respective mapping is configured in the RAN;</w:t>
      </w:r>
    </w:p>
    <w:p w14:paraId="28FBA9E3" w14:textId="77777777" w:rsidR="00057443" w:rsidRPr="00CC4CDF" w:rsidRDefault="00057443" w:rsidP="00057443">
      <w:pPr>
        <w:pStyle w:val="B1"/>
        <w:ind w:left="284" w:firstLine="0"/>
        <w:rPr>
          <w:lang w:eastAsia="zh-CN"/>
        </w:rPr>
      </w:pPr>
      <w:r w:rsidRPr="00CC4CDF">
        <w:t>-</w:t>
      </w:r>
      <w:r w:rsidRPr="00CC4CDF">
        <w:tab/>
        <w:t xml:space="preserve">A Mapped Cell ID as specified in clause </w:t>
      </w:r>
      <w:r w:rsidRPr="00CC4CDF">
        <w:rPr>
          <w:lang w:eastAsia="zh-CN"/>
        </w:rPr>
        <w:t>23.21</w:t>
      </w:r>
      <w:r w:rsidRPr="00CC4CDF">
        <w:t>.5.</w:t>
      </w:r>
    </w:p>
    <w:p w14:paraId="59B143D4" w14:textId="77777777" w:rsidR="00057443" w:rsidRPr="00CC4CDF" w:rsidRDefault="00057443" w:rsidP="00057443">
      <w:r w:rsidRPr="00CC4CDF">
        <w:lastRenderedPageBreak/>
        <w:t>Three types of service links are supported:</w:t>
      </w:r>
    </w:p>
    <w:p w14:paraId="0083F81B" w14:textId="77777777" w:rsidR="00057443" w:rsidRPr="00CC4CDF" w:rsidRDefault="00057443" w:rsidP="00057443">
      <w:pPr>
        <w:pStyle w:val="B1"/>
      </w:pPr>
      <w:r w:rsidRPr="00CC4CDF">
        <w:t>-</w:t>
      </w:r>
      <w:r w:rsidRPr="00CC4CDF">
        <w:tab/>
        <w:t>Earth-fixed: provisioned by beam(s) continuously covering the same geographical areas all the time (e.g., the case of GSO satellites);</w:t>
      </w:r>
    </w:p>
    <w:p w14:paraId="61D1E059" w14:textId="77777777" w:rsidR="00057443" w:rsidRPr="00CC4CDF" w:rsidRDefault="00057443" w:rsidP="00057443">
      <w:pPr>
        <w:pStyle w:val="B1"/>
      </w:pPr>
      <w:r w:rsidRPr="00CC4CDF">
        <w:t>-</w:t>
      </w:r>
      <w:r w:rsidRPr="00CC4CDF">
        <w:tab/>
        <w:t>Quasi-Earth-fixed: provisioned by beam(s) covering one geographic area for a limited period of time and a different geographic area during another period of time (e.g., the case of NGSO satellites generating steerable beams);</w:t>
      </w:r>
    </w:p>
    <w:p w14:paraId="4B98AD8B" w14:textId="77777777" w:rsidR="00057443" w:rsidRPr="00CC4CDF" w:rsidRDefault="00057443" w:rsidP="00057443">
      <w:pPr>
        <w:pStyle w:val="B1"/>
      </w:pPr>
      <w:r w:rsidRPr="00CC4CDF">
        <w:t>-</w:t>
      </w:r>
      <w:r w:rsidRPr="00CC4CDF">
        <w:tab/>
        <w:t>Earth-moving: provisioned by beam(s) whose coverage area slides over the Earth surface (e.g., the case of NGSO satellites generating fixed or non-steerable beams).</w:t>
      </w:r>
    </w:p>
    <w:p w14:paraId="3B46926D" w14:textId="77777777" w:rsidR="00057443" w:rsidRPr="00CC4CDF" w:rsidRDefault="00057443" w:rsidP="00057443">
      <w:pPr>
        <w:rPr>
          <w:lang w:eastAsia="zh-CN"/>
        </w:rPr>
      </w:pPr>
      <w:r w:rsidRPr="00CC4CDF">
        <w:t>With</w:t>
      </w:r>
      <w:r w:rsidRPr="00CC4CDF">
        <w:rPr>
          <w:lang w:eastAsia="zh-CN"/>
        </w:rPr>
        <w:t xml:space="preserve"> NGSO satellites, the </w:t>
      </w:r>
      <w:r w:rsidRPr="00CC4CDF">
        <w:t xml:space="preserve">eNB can provide either quasi-Earth-fixed cell coverage or Earth-moving cell coverage, while eNB operating with GSO satellites can provide </w:t>
      </w:r>
      <w:r w:rsidRPr="00CC4CDF">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32033A">
        <w:trPr>
          <w:trHeight w:val="196"/>
        </w:trPr>
        <w:tc>
          <w:tcPr>
            <w:tcW w:w="9797" w:type="dxa"/>
            <w:shd w:val="clear" w:color="auto" w:fill="FDE9D9"/>
            <w:vAlign w:val="center"/>
          </w:tcPr>
          <w:p w14:paraId="4E3BBB74"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455AFA28" w14:textId="77777777" w:rsidR="00130928" w:rsidRDefault="00130928" w:rsidP="00FA579D">
      <w:pPr>
        <w:spacing w:after="0"/>
        <w:rPr>
          <w:lang w:eastAsia="ja-JP"/>
        </w:rPr>
      </w:pPr>
    </w:p>
    <w:p w14:paraId="1F2B414B" w14:textId="77777777" w:rsidR="0067638A" w:rsidRPr="00CC4CDF" w:rsidRDefault="0067638A" w:rsidP="0067638A">
      <w:pPr>
        <w:pStyle w:val="Heading2"/>
      </w:pPr>
      <w:bookmarkStart w:id="18" w:name="_Toc139404032"/>
      <w:bookmarkStart w:id="19" w:name="_Toc131026746"/>
      <w:r w:rsidRPr="00CC4CDF">
        <w:t>23.21</w:t>
      </w:r>
      <w:r w:rsidRPr="00CC4CDF">
        <w:tab/>
        <w:t>Support for BL UEs, UEs in enhanced coverage and NB-IoT UEs over Non-Terrestrial Networks</w:t>
      </w:r>
      <w:bookmarkEnd w:id="18"/>
    </w:p>
    <w:p w14:paraId="5974A33A" w14:textId="77777777" w:rsidR="0067638A" w:rsidRPr="00CC4CDF" w:rsidRDefault="0067638A" w:rsidP="0067638A">
      <w:pPr>
        <w:pStyle w:val="Heading3"/>
      </w:pPr>
      <w:bookmarkStart w:id="20" w:name="_Toc139404033"/>
      <w:r w:rsidRPr="00CC4CDF">
        <w:t>23.21.1</w:t>
      </w:r>
      <w:r w:rsidRPr="00CC4CDF">
        <w:tab/>
        <w:t>General</w:t>
      </w:r>
      <w:bookmarkEnd w:id="20"/>
    </w:p>
    <w:p w14:paraId="6AA6BEC3" w14:textId="77777777" w:rsidR="0067638A" w:rsidRPr="00CC4CDF" w:rsidRDefault="0067638A" w:rsidP="0067638A">
      <w:r w:rsidRPr="00CC4CDF">
        <w:t>Support for BL UEs, UEs in enhanced coverage and NB-IoT UEs over Non-Terrestrial Networks (see clause 4.12) is only applicable to E-UTRA connected to EPC. UEs not supporting NTN are barred from accessing an NTN cell.</w:t>
      </w:r>
    </w:p>
    <w:p w14:paraId="19F11EC0" w14:textId="77777777" w:rsidR="0067638A" w:rsidRPr="00CC4CDF" w:rsidRDefault="0067638A" w:rsidP="0067638A">
      <w:r w:rsidRPr="00CC4CDF">
        <w:t>In NTN, only BL UEs, UEs in enhanced coverage and NB-IoT UEs with GNSS capability are supported in this release of the specification.</w:t>
      </w:r>
    </w:p>
    <w:p w14:paraId="52357268" w14:textId="77777777" w:rsidR="0067638A" w:rsidRPr="00CC4CDF" w:rsidRDefault="0067638A" w:rsidP="0067638A">
      <w:pPr>
        <w:rPr>
          <w:lang w:eastAsia="zh-CN"/>
        </w:rPr>
      </w:pPr>
      <w:r w:rsidRPr="00CC4CDF">
        <w:rPr>
          <w:lang w:eastAsia="zh-CN"/>
        </w:rPr>
        <w:t>To accommodate long propagation delays in NTN, increased timer values and window sizes, or delayed starting times are supported for the physical layer and for higher layers.</w:t>
      </w:r>
    </w:p>
    <w:p w14:paraId="6772E4A2" w14:textId="77777777" w:rsidR="0067638A" w:rsidRPr="00CC4CDF" w:rsidRDefault="0067638A" w:rsidP="0067638A">
      <w:pPr>
        <w:rPr>
          <w:rFonts w:cs="Helv"/>
        </w:rPr>
      </w:pPr>
      <w:r w:rsidRPr="00CC4CDF">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DBA076C" w14:textId="77777777" w:rsidR="0067638A" w:rsidRPr="00CC4CDF" w:rsidRDefault="0067638A" w:rsidP="0067638A">
      <w:r w:rsidRPr="00CC4CDF">
        <w:t>In this release of the specification, NTN is only applicable to FDD system.</w:t>
      </w:r>
    </w:p>
    <w:p w14:paraId="0DC71DCF" w14:textId="77777777" w:rsidR="0067638A" w:rsidRDefault="0067638A" w:rsidP="0067638A">
      <w:pPr>
        <w:rPr>
          <w:ins w:id="21" w:author="After RAN2#122" w:date="2023-06-21T13:56:00Z"/>
          <w:shd w:val="clear" w:color="auto" w:fill="FFFFFF"/>
        </w:rPr>
      </w:pPr>
      <w:bookmarkStart w:id="22" w:name="_Toc139404034"/>
      <w:ins w:id="23" w:author="After RAN2#122" w:date="2023-06-21T13:56:00Z">
        <w:r>
          <w:rPr>
            <w:shd w:val="clear" w:color="auto" w:fill="FFFFFF"/>
          </w:rPr>
          <w:t>The network may configure the HARQ operation as follows:</w:t>
        </w:r>
      </w:ins>
    </w:p>
    <w:p w14:paraId="2ACF46FF" w14:textId="77777777" w:rsidR="0067638A" w:rsidRDefault="0067638A" w:rsidP="0067638A">
      <w:pPr>
        <w:pStyle w:val="B1"/>
        <w:rPr>
          <w:ins w:id="24" w:author="After RAN2#122" w:date="2023-06-21T13:56:00Z"/>
          <w:lang w:eastAsia="zh-CN"/>
        </w:rPr>
      </w:pPr>
      <w:ins w:id="25" w:author="After RAN2#122" w:date="2023-06-21T13:56:00Z">
        <w:r w:rsidRPr="004438F2">
          <w:rPr>
            <w:lang w:eastAsia="zh-CN"/>
          </w:rPr>
          <w:t>-</w:t>
        </w:r>
        <w:r w:rsidRPr="004438F2">
          <w:rPr>
            <w:lang w:eastAsia="zh-CN"/>
          </w:rPr>
          <w:tab/>
        </w:r>
        <w:r w:rsidRPr="009D2CE2">
          <w:rPr>
            <w:lang w:eastAsia="zh-CN"/>
          </w:rPr>
          <w:t>For downlink, HARQ feedback can be enabled or disabled per HARQ process (as specified in clause 5.3.2.2 and clause 5.7 of TS 3</w:t>
        </w:r>
        <w:r>
          <w:rPr>
            <w:lang w:eastAsia="zh-CN"/>
          </w:rPr>
          <w:t>6</w:t>
        </w:r>
        <w:r w:rsidRPr="009D2CE2">
          <w:rPr>
            <w:lang w:eastAsia="zh-CN"/>
          </w:rPr>
          <w:t>.321 [</w:t>
        </w:r>
        <w:r>
          <w:rPr>
            <w:lang w:eastAsia="zh-CN"/>
          </w:rPr>
          <w:t>13</w:t>
        </w:r>
        <w:r w:rsidRPr="009D2CE2">
          <w:rPr>
            <w:lang w:eastAsia="zh-CN"/>
          </w:rPr>
          <w:t>]). Disabling HARQ feedback allows scheduling a HARQ process before one HARQ RTT has elapsed since last scheduled.</w:t>
        </w:r>
      </w:ins>
    </w:p>
    <w:p w14:paraId="6CE37256" w14:textId="77777777" w:rsidR="0067638A" w:rsidRDefault="0067638A" w:rsidP="0067638A">
      <w:pPr>
        <w:pStyle w:val="B1"/>
        <w:rPr>
          <w:ins w:id="26" w:author="After RAN2#122" w:date="2023-06-21T13:56:00Z"/>
          <w:lang w:eastAsia="zh-CN"/>
        </w:rPr>
      </w:pPr>
      <w:ins w:id="27" w:author="After RAN2#122" w:date="2023-06-21T13:56:00Z">
        <w:r w:rsidRPr="004438F2">
          <w:rPr>
            <w:lang w:eastAsia="zh-CN"/>
          </w:rPr>
          <w:t>-</w:t>
        </w:r>
        <w:r w:rsidRPr="004438F2">
          <w:rPr>
            <w:lang w:eastAsia="zh-CN"/>
          </w:rPr>
          <w:tab/>
        </w:r>
        <w:r w:rsidRPr="00F24AE9">
          <w:rPr>
            <w:lang w:eastAsia="zh-CN"/>
          </w:rPr>
          <w:t>For uplink, HARQ mode (i.e. HARQ mode A or HARQ mode B) can be configured per HARQ process (as specified in clause 5.4.3.1 and clause 5.7 of TS 3</w:t>
        </w:r>
        <w:r>
          <w:rPr>
            <w:lang w:eastAsia="zh-CN"/>
          </w:rPr>
          <w:t>6</w:t>
        </w:r>
        <w:r w:rsidRPr="00F24AE9">
          <w:rPr>
            <w:lang w:eastAsia="zh-CN"/>
          </w:rPr>
          <w:t>.321 [</w:t>
        </w:r>
        <w:r>
          <w:rPr>
            <w:lang w:eastAsia="zh-CN"/>
          </w:rPr>
          <w:t>13</w:t>
        </w:r>
        <w:r w:rsidRPr="00F24AE9">
          <w:rPr>
            <w:lang w:eastAsia="zh-CN"/>
          </w:rPr>
          <w:t>]). HARQ mode B allows scheduling a HARQ process before one HARQ RTT has elapsed since last scheduled.</w:t>
        </w:r>
      </w:ins>
    </w:p>
    <w:p w14:paraId="6CA634F1" w14:textId="5A9BDF29" w:rsidR="0067638A" w:rsidRPr="00357DF0" w:rsidRDefault="0067638A" w:rsidP="0067638A">
      <w:pPr>
        <w:pStyle w:val="NO"/>
        <w:rPr>
          <w:ins w:id="28" w:author="After RAN2#122" w:date="2023-06-21T13:56:00Z"/>
        </w:rPr>
      </w:pPr>
      <w:ins w:id="29" w:author="After RAN2#122" w:date="2023-06-21T13:56:00Z">
        <w:r w:rsidRPr="00F24AE9">
          <w:t xml:space="preserve">NOTE: </w:t>
        </w:r>
        <w:r w:rsidRPr="00357DF0">
          <w:tab/>
        </w:r>
        <w:r w:rsidRPr="00F24AE9">
          <w:t xml:space="preserve">For the HARQ processes configured with HARQ feedback enabled/disabled, it is up to network implementation to ensure a proper configuration of HARQ feedback (e.g., either all enabled or all disabled) for HARQ processes used by a </w:t>
        </w:r>
      </w:ins>
      <w:ins w:id="30" w:author="After RAN2#122" w:date="2023-06-29T17:25:00Z">
        <w:r>
          <w:t xml:space="preserve">downlink </w:t>
        </w:r>
      </w:ins>
      <w:ins w:id="31" w:author="After RAN2#122" w:date="2023-06-21T13:56:00Z">
        <w:r w:rsidRPr="00F24AE9">
          <w:t>SPS configuration. For the HARQ processes configured with HARQ mode, it is up to network implementation to ensure a proper configuration of HARQ mode (e.g., either all HARQ mode A or all HARQ mode B) for HARQ processes used by a</w:t>
        </w:r>
      </w:ins>
      <w:ins w:id="32" w:author="After RAN2#122" w:date="2023-06-29T17:25:00Z">
        <w:r>
          <w:t>n uplink</w:t>
        </w:r>
      </w:ins>
      <w:ins w:id="33" w:author="After RAN2#122" w:date="2023-06-21T13:56:00Z">
        <w:r w:rsidRPr="00F24AE9">
          <w:t xml:space="preserve"> </w:t>
        </w:r>
        <w:r>
          <w:t xml:space="preserve">SPS </w:t>
        </w:r>
        <w:r w:rsidRPr="00F24AE9">
          <w:t>configuration.</w:t>
        </w:r>
      </w:ins>
    </w:p>
    <w:p w14:paraId="11B14336" w14:textId="77777777" w:rsidR="0067638A" w:rsidRPr="00357DF0" w:rsidRDefault="0067638A" w:rsidP="0067638A">
      <w:pPr>
        <w:pStyle w:val="EditorsNote"/>
        <w:rPr>
          <w:ins w:id="34" w:author="After RAN2#122" w:date="2023-06-29T17:26:00Z"/>
        </w:rPr>
      </w:pPr>
      <w:ins w:id="35" w:author="After RAN2#122" w:date="2023-06-29T17:26:00Z">
        <w:r>
          <w:t>Editor’s Note: A reference to RAN1 spec for DCI base</w:t>
        </w:r>
      </w:ins>
      <w:ins w:id="36" w:author="After RAN2#122" w:date="2023-06-29T17:27:00Z">
        <w:r>
          <w:t>d control of enable/disable HARQ feedback is needed above.</w:t>
        </w:r>
      </w:ins>
    </w:p>
    <w:p w14:paraId="24BB9BA5" w14:textId="77777777" w:rsidR="0067638A" w:rsidRPr="00CC4CDF" w:rsidRDefault="0067638A" w:rsidP="0067638A">
      <w:pPr>
        <w:pStyle w:val="Heading3"/>
      </w:pPr>
      <w:r w:rsidRPr="00CC4CDF">
        <w:lastRenderedPageBreak/>
        <w:t>23.21.2</w:t>
      </w:r>
      <w:r w:rsidRPr="00CC4CDF">
        <w:tab/>
        <w:t>Timing and synchronization</w:t>
      </w:r>
      <w:bookmarkEnd w:id="22"/>
    </w:p>
    <w:p w14:paraId="4C4EC183" w14:textId="77777777" w:rsidR="0067638A" w:rsidRPr="00CC4CDF" w:rsidRDefault="0067638A" w:rsidP="0067638A">
      <w:pPr>
        <w:pStyle w:val="Heading4"/>
      </w:pPr>
      <w:bookmarkStart w:id="37" w:name="_Toc139404035"/>
      <w:r w:rsidRPr="00CC4CDF">
        <w:t>23.21.2.1</w:t>
      </w:r>
      <w:r w:rsidRPr="00CC4CDF">
        <w:tab/>
        <w:t>Scheduling timing</w:t>
      </w:r>
      <w:bookmarkEnd w:id="37"/>
    </w:p>
    <w:p w14:paraId="04629DC1" w14:textId="77777777" w:rsidR="0067638A" w:rsidRPr="00CC4CDF" w:rsidRDefault="0067638A" w:rsidP="0067638A">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564A9C73" w14:textId="77777777" w:rsidR="0067638A" w:rsidRPr="00CC4CDF" w:rsidRDefault="0067638A" w:rsidP="0067638A">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0760CF7B" w14:textId="77777777" w:rsidR="0067638A" w:rsidRPr="00CC4CDF" w:rsidRDefault="0067638A" w:rsidP="0067638A">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28046426"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4B82BDB3"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71B46932" w14:textId="77777777" w:rsidR="0067638A" w:rsidRPr="00CC4CDF" w:rsidRDefault="0067638A" w:rsidP="0067638A">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reception and an uplink transmission, see TS 36.213 [6].</w:t>
      </w:r>
    </w:p>
    <w:p w14:paraId="313495F5" w14:textId="77777777" w:rsidR="0067638A" w:rsidRPr="00CC4CDF" w:rsidRDefault="0067638A" w:rsidP="0067638A">
      <w:r w:rsidRPr="00CC4CDF">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w:t>
      </w:r>
      <w:bookmarkStart w:id="38" w:name="_Hlk133482924"/>
      <w:r w:rsidRPr="00CC4CDF">
        <w:t xml:space="preserve">It may be provided by the network when downlink and uplink frame timing are not aligned at eNB. </w:t>
      </w:r>
      <w:bookmarkStart w:id="39" w:name="_Hlk133482489"/>
      <w:bookmarkEnd w:id="38"/>
      <w:r w:rsidRPr="00CC4CDF">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random access procedure, to determine the start time of random access response window after a random access preamble transmission (see TS 36.213 [6]).</w:t>
      </w:r>
      <w:bookmarkEnd w:id="39"/>
    </w:p>
    <w:p w14:paraId="496995F8" w14:textId="77777777" w:rsidR="0067638A" w:rsidRPr="00CC4CDF" w:rsidRDefault="0067638A" w:rsidP="0067638A">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72AB2D3F" w14:textId="77777777" w:rsidR="0067638A" w:rsidRPr="00CC4CDF" w:rsidRDefault="0067638A" w:rsidP="0067638A">
      <w:pPr>
        <w:pStyle w:val="TH"/>
      </w:pPr>
      <w:r w:rsidRPr="00CC4CDF">
        <w:object w:dxaOrig="10351" w:dyaOrig="7246" w14:anchorId="6CF33C3E">
          <v:shape id="_x0000_i1026" type="#_x0000_t75" style="width:472.2pt;height:330.4pt" o:ole="">
            <v:imagedata r:id="rId17" o:title=""/>
          </v:shape>
          <o:OLEObject Type="Embed" ProgID="Visio.Drawing.15" ShapeID="_x0000_i1026" DrawAspect="Content" ObjectID="_1753259863" r:id="rId18"/>
        </w:object>
      </w:r>
    </w:p>
    <w:p w14:paraId="2BF3C824" w14:textId="77777777" w:rsidR="0067638A" w:rsidRPr="00CC4CDF" w:rsidRDefault="0067638A" w:rsidP="0067638A">
      <w:pPr>
        <w:pStyle w:val="TF"/>
      </w:pPr>
      <w:r w:rsidRPr="00CC4CDF">
        <w:t>Figure 23.21.2.1-1: Illustration of timing relationship (for collocated eNB and NTN Gateway)</w:t>
      </w:r>
    </w:p>
    <w:p w14:paraId="4251E977" w14:textId="77777777" w:rsidR="0067638A" w:rsidRPr="00CC4CDF" w:rsidRDefault="0067638A" w:rsidP="0067638A">
      <w:pPr>
        <w:pStyle w:val="Heading4"/>
      </w:pPr>
      <w:bookmarkStart w:id="40" w:name="_Toc139404036"/>
      <w:r w:rsidRPr="00CC4CDF">
        <w:t>23.21.2.2</w:t>
      </w:r>
      <w:r w:rsidRPr="00CC4CDF">
        <w:tab/>
        <w:t>Timing Advance and Frequency Pre-compensation</w:t>
      </w:r>
      <w:bookmarkEnd w:id="40"/>
    </w:p>
    <w:p w14:paraId="5B7652A5" w14:textId="77777777" w:rsidR="0067638A" w:rsidRPr="00CC4CDF" w:rsidRDefault="0067638A" w:rsidP="0067638A">
      <w:r w:rsidRPr="00CC4CDF">
        <w:t>For the serving cell, the network broadcast ephemeris information and common Timing Advance (common TA) parameters.</w:t>
      </w:r>
    </w:p>
    <w:p w14:paraId="654D6AAB" w14:textId="77777777" w:rsidR="0067638A" w:rsidRPr="00CC4CDF" w:rsidRDefault="0067638A" w:rsidP="0067638A">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6601FD15" w14:textId="77777777" w:rsidR="0067638A" w:rsidRPr="00CC4CDF" w:rsidRDefault="0067638A" w:rsidP="0067638A">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7556FC19" w14:textId="324746D9" w:rsidR="0067638A" w:rsidRPr="00CC4CDF" w:rsidRDefault="0067638A" w:rsidP="0067638A">
      <w:r w:rsidRPr="00CC4CDF">
        <w:t xml:space="preserve">In connected mode, the UE shall continuously update the Timing Advance and frequency pre-compensation, </w:t>
      </w:r>
      <w:del w:id="41" w:author="After RAN2#122" w:date="2023-06-29T10:10:00Z">
        <w:r w:rsidR="00626B88" w:rsidRPr="00357DF0" w:rsidDel="00A374C0">
          <w:delText xml:space="preserve">but </w:delText>
        </w:r>
      </w:del>
      <w:ins w:id="42" w:author="After RAN2#122" w:date="2023-06-29T10:10:00Z">
        <w:r w:rsidR="00626B88">
          <w:t>and</w:t>
        </w:r>
        <w:r w:rsidR="00626B88" w:rsidRPr="00357DF0">
          <w:t xml:space="preserve"> </w:t>
        </w:r>
      </w:ins>
      <w:r w:rsidRPr="00CC4CDF">
        <w:t xml:space="preserve">the UE </w:t>
      </w:r>
      <w:del w:id="43" w:author="After RAN2#122" w:date="2023-06-29T10:10:00Z">
        <w:r w:rsidR="00626B88" w:rsidRPr="00357DF0" w:rsidDel="00A374C0">
          <w:delText>is not expected</w:delText>
        </w:r>
      </w:del>
      <w:ins w:id="44" w:author="After RAN2#122" w:date="2023-06-28T23:39:00Z">
        <w:r w:rsidR="00626B88">
          <w:t>can be configured</w:t>
        </w:r>
      </w:ins>
      <w:r w:rsidRPr="00CC4CDF">
        <w:t xml:space="preserve"> to perform GNSS acquisition.</w:t>
      </w:r>
      <w:ins w:id="45" w:author="After RAN2#122" w:date="2023-06-21T14:21:00Z">
        <w:r w:rsidR="00626B88">
          <w:t xml:space="preserve"> While the UE is performing GNSS </w:t>
        </w:r>
      </w:ins>
      <w:ins w:id="46" w:author="After RAN2#122" w:date="2023-06-21T14:22:00Z">
        <w:r w:rsidR="00626B88">
          <w:t>acquisition, RLM is suspended.</w:t>
        </w:r>
      </w:ins>
      <w:r w:rsidRPr="00CC4CDF">
        <w:t xml:space="preserve"> In connected mode, upon outdated ephemeris and common Timing Advance, the UE shall acquire the broadcasted parameters and upon outdated GNSS position the UE shall move to idle mode.</w:t>
      </w:r>
      <w:ins w:id="47" w:author="After RAN2#122" w:date="2023-06-21T14:05:00Z">
        <w:r w:rsidR="00626B88">
          <w:t xml:space="preserve"> Upon completing the GNSS </w:t>
        </w:r>
      </w:ins>
      <w:ins w:id="48" w:author="After RAN2#122" w:date="2023-06-21T14:06:00Z">
        <w:r w:rsidR="00626B88">
          <w:t>acquisition, the UE shall</w:t>
        </w:r>
      </w:ins>
      <w:ins w:id="49" w:author="After RAN2#122" w:date="2023-06-28T21:58:00Z">
        <w:r w:rsidR="00626B88">
          <w:t xml:space="preserve"> trigger</w:t>
        </w:r>
      </w:ins>
      <w:ins w:id="50" w:author="After RAN2#122" w:date="2023-06-21T14:06:00Z">
        <w:r w:rsidR="00626B88">
          <w:t xml:space="preserve"> remaining validity duration</w:t>
        </w:r>
      </w:ins>
      <w:ins w:id="51" w:author="After RAN2#122" w:date="2023-06-28T21:59:00Z">
        <w:r w:rsidR="00626B88">
          <w:t xml:space="preserve"> reporting</w:t>
        </w:r>
      </w:ins>
      <w:ins w:id="52" w:author="After RAN2#122" w:date="2023-06-21T14:06:00Z">
        <w:r w:rsidR="00626B88">
          <w:t>.</w:t>
        </w:r>
      </w:ins>
    </w:p>
    <w:p w14:paraId="2E8FE731" w14:textId="77777777" w:rsidR="00626B88" w:rsidRPr="00357DF0" w:rsidRDefault="00626B88" w:rsidP="00626B88">
      <w:pPr>
        <w:pStyle w:val="EditorsNote"/>
        <w:rPr>
          <w:ins w:id="53" w:author="After RAN2#122" w:date="2023-06-28T23:41:00Z"/>
        </w:rPr>
      </w:pPr>
      <w:ins w:id="54" w:author="After RAN2#122" w:date="2023-06-28T23:41:00Z">
        <w:r>
          <w:t xml:space="preserve">Editor’s Note: </w:t>
        </w:r>
      </w:ins>
      <w:ins w:id="55" w:author="After RAN2#122" w:date="2023-06-29T09:34:00Z">
        <w:r>
          <w:t>B</w:t>
        </w:r>
      </w:ins>
      <w:ins w:id="56" w:author="After RAN2#122" w:date="2023-06-29T09:32:00Z">
        <w:r>
          <w:t xml:space="preserve">esides RLM, </w:t>
        </w:r>
      </w:ins>
      <w:ins w:id="57" w:author="After RAN2#122" w:date="2023-06-28T23:42:00Z">
        <w:r>
          <w:t>AS operations shall be suspended</w:t>
        </w:r>
      </w:ins>
      <w:ins w:id="58" w:author="After RAN2#122" w:date="2023-06-29T09:31:00Z">
        <w:r>
          <w:t xml:space="preserve"> </w:t>
        </w:r>
      </w:ins>
      <w:ins w:id="59" w:author="After RAN2#122" w:date="2023-06-29T09:34:00Z">
        <w:r>
          <w:t xml:space="preserve">and that </w:t>
        </w:r>
      </w:ins>
      <w:ins w:id="60" w:author="After RAN2#122" w:date="2023-06-29T09:35:00Z">
        <w:r>
          <w:t xml:space="preserve">can be captured in stage 2 </w:t>
        </w:r>
      </w:ins>
      <w:ins w:id="61" w:author="After RAN2#122" w:date="2023-06-29T09:33:00Z">
        <w:r>
          <w:t xml:space="preserve">unless </w:t>
        </w:r>
      </w:ins>
      <w:ins w:id="62" w:author="After RAN2#122" w:date="2023-06-29T09:31:00Z">
        <w:r>
          <w:t>that i</w:t>
        </w:r>
      </w:ins>
      <w:ins w:id="63" w:author="After RAN2#122" w:date="2023-06-29T09:33:00Z">
        <w:r>
          <w:t xml:space="preserve">s </w:t>
        </w:r>
      </w:ins>
      <w:ins w:id="64" w:author="After RAN2#122" w:date="2023-06-29T12:17:00Z">
        <w:r>
          <w:t xml:space="preserve">sufficiently </w:t>
        </w:r>
      </w:ins>
      <w:ins w:id="65" w:author="After RAN2#122" w:date="2023-06-29T09:33:00Z">
        <w:r>
          <w:t xml:space="preserve">captured </w:t>
        </w:r>
      </w:ins>
      <w:ins w:id="66" w:author="After RAN2#122" w:date="2023-06-29T09:31:00Z">
        <w:r>
          <w:t xml:space="preserve">in </w:t>
        </w:r>
      </w:ins>
      <w:ins w:id="67" w:author="After RAN2#122" w:date="2023-06-29T09:32:00Z">
        <w:r>
          <w:t>stage 3 (MAC and</w:t>
        </w:r>
      </w:ins>
      <w:ins w:id="68" w:author="After RAN2#122" w:date="2023-06-29T09:33:00Z">
        <w:r>
          <w:t>/or</w:t>
        </w:r>
      </w:ins>
      <w:ins w:id="69" w:author="After RAN2#122" w:date="2023-06-29T09:32:00Z">
        <w:r>
          <w:t xml:space="preserve"> RRC)</w:t>
        </w:r>
      </w:ins>
      <w:ins w:id="70" w:author="After RAN2#122" w:date="2023-06-28T23:42:00Z">
        <w:r>
          <w:t xml:space="preserve">. </w:t>
        </w:r>
      </w:ins>
    </w:p>
    <w:p w14:paraId="61A520AF" w14:textId="77777777" w:rsidR="00626B88" w:rsidRPr="00357DF0" w:rsidRDefault="00626B88" w:rsidP="00626B88">
      <w:pPr>
        <w:pStyle w:val="EditorsNote"/>
        <w:rPr>
          <w:ins w:id="71" w:author="After RAN2#122" w:date="2023-06-28T21:52:00Z"/>
        </w:rPr>
      </w:pPr>
      <w:ins w:id="72" w:author="After RAN2#122" w:date="2023-06-28T21:52:00Z">
        <w:r>
          <w:t xml:space="preserve">Editor’s Note: </w:t>
        </w:r>
      </w:ins>
      <w:ins w:id="73" w:author="After RAN2#122" w:date="2023-06-28T23:42:00Z">
        <w:r>
          <w:t>A change may be neede in</w:t>
        </w:r>
      </w:ins>
      <w:ins w:id="74" w:author="After RAN2#122" w:date="2023-06-28T21:53:00Z">
        <w:r>
          <w:t xml:space="preserve"> “</w:t>
        </w:r>
        <w:r w:rsidRPr="0027491C">
          <w:t>upon outdated GNSS position the UE shall move to idle mode</w:t>
        </w:r>
        <w:r>
          <w:t xml:space="preserve">” </w:t>
        </w:r>
      </w:ins>
      <w:ins w:id="75" w:author="After RAN2#122" w:date="2023-06-28T21:54:00Z">
        <w:r>
          <w:t>depending on RAN1 conclu</w:t>
        </w:r>
      </w:ins>
      <w:ins w:id="76" w:author="After RAN2#122" w:date="2023-06-28T21:55:00Z">
        <w:r>
          <w:t xml:space="preserve">sion </w:t>
        </w:r>
      </w:ins>
      <w:ins w:id="77" w:author="After RAN2#122" w:date="2023-06-28T21:54:00Z">
        <w:r>
          <w:t xml:space="preserve">on </w:t>
        </w:r>
      </w:ins>
      <w:ins w:id="78" w:author="After RAN2#122" w:date="2023-06-28T21:55:00Z">
        <w:r>
          <w:t xml:space="preserve">UE </w:t>
        </w:r>
      </w:ins>
      <w:ins w:id="79" w:author="After RAN2#122" w:date="2023-06-28T21:54:00Z">
        <w:r>
          <w:t>behaviour</w:t>
        </w:r>
      </w:ins>
      <w:ins w:id="80" w:author="After RAN2#122" w:date="2023-06-28T21:55:00Z">
        <w:r>
          <w:t xml:space="preserve">, </w:t>
        </w:r>
      </w:ins>
      <w:ins w:id="81" w:author="After RAN2#122" w:date="2023-06-28T21:57:00Z">
        <w:r w:rsidRPr="00FB07CD">
          <w:t>if moving to IDLE shall be preceeded by an attempt to acquire the GNSS position</w:t>
        </w:r>
      </w:ins>
      <w:ins w:id="82" w:author="After RAN2#122" w:date="2023-06-28T23:37:00Z">
        <w:r>
          <w:t xml:space="preserve"> or not</w:t>
        </w:r>
      </w:ins>
      <w:ins w:id="83" w:author="After RAN2#122" w:date="2023-06-28T21:56:00Z">
        <w:r>
          <w:t>.</w:t>
        </w:r>
      </w:ins>
    </w:p>
    <w:p w14:paraId="25123362" w14:textId="77777777" w:rsidR="0067638A" w:rsidRPr="00CC4CDF" w:rsidRDefault="0067638A" w:rsidP="0067638A">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464A0A72" w14:textId="77777777" w:rsidR="0067638A" w:rsidRPr="00CC4CDF" w:rsidRDefault="0067638A" w:rsidP="0067638A">
      <w:pPr>
        <w:pStyle w:val="TH"/>
      </w:pPr>
      <w:r w:rsidRPr="00CC4CDF">
        <w:object w:dxaOrig="6736" w:dyaOrig="2206" w14:anchorId="4A5AF9BA">
          <v:shape id="_x0000_i1027" type="#_x0000_t75" style="width:227.5pt;height:71.55pt" o:ole="">
            <v:imagedata r:id="rId19" o:title=""/>
          </v:shape>
          <o:OLEObject Type="Embed" ProgID="Visio.Drawing.11" ShapeID="_x0000_i1027" DrawAspect="Content" ObjectID="_1753259864" r:id="rId20"/>
        </w:object>
      </w:r>
    </w:p>
    <w:p w14:paraId="217F9B12" w14:textId="77777777" w:rsidR="0067638A" w:rsidRPr="00CC4CDF" w:rsidRDefault="0067638A" w:rsidP="0067638A">
      <w:pPr>
        <w:pStyle w:val="TF"/>
      </w:pPr>
      <w:r w:rsidRPr="00CC4CDF">
        <w:t>Figure 23.21.2.2-1: Illustration of Uplink/Downlink Radio Frame Timing at the UE</w:t>
      </w:r>
    </w:p>
    <w:p w14:paraId="376CCB58" w14:textId="77777777" w:rsidR="0067638A" w:rsidRPr="00CC4CDF" w:rsidRDefault="0067638A" w:rsidP="0067638A">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63C1C596" w14:textId="77777777" w:rsidR="0067638A" w:rsidRPr="00CC4CDF" w:rsidRDefault="0067638A" w:rsidP="0067638A">
      <w:pPr>
        <w:pStyle w:val="Heading3"/>
      </w:pPr>
      <w:bookmarkStart w:id="84" w:name="_Toc139404037"/>
      <w:r w:rsidRPr="00CC4CDF">
        <w:t>23.21.3</w:t>
      </w:r>
      <w:r w:rsidRPr="00CC4CDF">
        <w:tab/>
        <w:t>Support of discontinuous coverage</w:t>
      </w:r>
      <w:bookmarkEnd w:id="84"/>
    </w:p>
    <w:p w14:paraId="1BC5E46F" w14:textId="77777777" w:rsidR="0067638A" w:rsidRPr="00CC4CDF" w:rsidRDefault="0067638A" w:rsidP="0067638A">
      <w:r w:rsidRPr="00CC4CDF">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1D9411B" w14:textId="77777777" w:rsidR="0067638A" w:rsidRPr="00CC4CDF" w:rsidRDefault="0067638A" w:rsidP="0067638A">
      <w:r w:rsidRPr="00CC4CDF">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56A366EC" w14:textId="77777777" w:rsidR="0067638A" w:rsidRPr="00CC4CDF" w:rsidRDefault="0067638A" w:rsidP="0067638A">
      <w:pPr>
        <w:pStyle w:val="Heading3"/>
      </w:pPr>
      <w:bookmarkStart w:id="85" w:name="_Toc139404038"/>
      <w:r w:rsidRPr="00CC4CDF">
        <w:t>23.21.4</w:t>
      </w:r>
      <w:r w:rsidRPr="00CC4CDF">
        <w:tab/>
        <w:t>Mobility Management</w:t>
      </w:r>
      <w:bookmarkEnd w:id="85"/>
    </w:p>
    <w:p w14:paraId="55B05BD3" w14:textId="77777777" w:rsidR="0067638A" w:rsidRPr="00CC4CDF" w:rsidRDefault="0067638A" w:rsidP="0067638A">
      <w:pPr>
        <w:pStyle w:val="Heading4"/>
      </w:pPr>
      <w:bookmarkStart w:id="86" w:name="_Toc139404039"/>
      <w:r w:rsidRPr="00CC4CDF">
        <w:t>23.21.4.1</w:t>
      </w:r>
      <w:r w:rsidRPr="00CC4CDF">
        <w:tab/>
        <w:t>Mobility Management in ECM-IDLE</w:t>
      </w:r>
      <w:bookmarkEnd w:id="86"/>
    </w:p>
    <w:p w14:paraId="69BFA3AA" w14:textId="77777777" w:rsidR="0067638A" w:rsidRPr="00CC4CDF" w:rsidRDefault="0067638A" w:rsidP="0067638A">
      <w:r w:rsidRPr="00CC4CDF">
        <w:t>The principles described in clause 10.1.1 apply in NTN unless specified otherwise hereafter.</w:t>
      </w:r>
    </w:p>
    <w:p w14:paraId="77F68DD1" w14:textId="77777777" w:rsidR="0067638A" w:rsidRPr="00CC4CDF" w:rsidRDefault="0067638A" w:rsidP="0067638A">
      <w:r w:rsidRPr="00CC4CDF">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48AB7BB1" w14:textId="77777777" w:rsidR="0067638A" w:rsidRPr="00CC4CDF" w:rsidRDefault="0067638A" w:rsidP="0067638A">
      <w:r w:rsidRPr="00CC4CDF">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3FCAE75" w14:textId="77777777" w:rsidR="00216C1D" w:rsidRPr="00357DF0" w:rsidRDefault="00216C1D" w:rsidP="00216C1D">
      <w:pPr>
        <w:rPr>
          <w:ins w:id="87" w:author="After RAN2#122" w:date="2023-06-29T12:21:00Z"/>
        </w:rPr>
      </w:pPr>
      <w:bookmarkStart w:id="88" w:name="_Toc139404040"/>
      <w:ins w:id="89" w:author="After RAN2#122" w:date="2023-06-29T12:27:00Z">
        <w:r>
          <w:t>L</w:t>
        </w:r>
      </w:ins>
      <w:ins w:id="90" w:author="After RAN2#122" w:date="2023-06-29T12:26:00Z">
        <w:r>
          <w:t>ocation</w:t>
        </w:r>
      </w:ins>
      <w:ins w:id="91" w:author="After RAN2#122" w:date="2023-06-29T12:27:00Z">
        <w:r>
          <w:t xml:space="preserve"> and time</w:t>
        </w:r>
      </w:ins>
      <w:ins w:id="92" w:author="After RAN2#122" w:date="2023-06-29T12:26:00Z">
        <w:r>
          <w:t>-based</w:t>
        </w:r>
      </w:ins>
      <w:ins w:id="93" w:author="After RAN2#122" w:date="2023-06-29T12:24:00Z">
        <w:r>
          <w:t xml:space="preserve"> </w:t>
        </w:r>
      </w:ins>
      <w:ins w:id="94" w:author="After RAN2#122" w:date="2023-06-29T12:25:00Z">
        <w:r>
          <w:t>measurements can be used for cell reselection.</w:t>
        </w:r>
      </w:ins>
    </w:p>
    <w:p w14:paraId="75B51D60" w14:textId="77777777" w:rsidR="0067638A" w:rsidRPr="00CC4CDF" w:rsidRDefault="0067638A" w:rsidP="0067638A">
      <w:pPr>
        <w:pStyle w:val="Heading4"/>
      </w:pPr>
      <w:r w:rsidRPr="00CC4CDF">
        <w:t>23.21.4.2</w:t>
      </w:r>
      <w:r w:rsidRPr="00CC4CDF">
        <w:tab/>
        <w:t>Mobility Management in ECM-CONNECTED</w:t>
      </w:r>
      <w:bookmarkEnd w:id="88"/>
    </w:p>
    <w:p w14:paraId="4034D12E" w14:textId="77777777" w:rsidR="0067638A" w:rsidRPr="00CC4CDF" w:rsidRDefault="0067638A" w:rsidP="0067638A">
      <w:r w:rsidRPr="00CC4CDF">
        <w:t>Radio link failure and RRC connection re-establishment are supported in NTN. The principles described in clause 10.1.6 apply unless specified otherwise. The principles described in clause 10.1.2 apply to NTN unless specified otherwise.</w:t>
      </w:r>
    </w:p>
    <w:p w14:paraId="45499B5E" w14:textId="77777777" w:rsidR="0067638A" w:rsidRPr="00CC4CDF" w:rsidRDefault="0067638A" w:rsidP="0067638A">
      <w:r w:rsidRPr="00CC4CDF">
        <w:t>To enable mobility in NTN, the network provides target cell NTN payload assistance information needed to access the NTN cell in the handover command.</w:t>
      </w:r>
    </w:p>
    <w:p w14:paraId="33DA2DD4" w14:textId="77777777" w:rsidR="0067638A" w:rsidRPr="00CC4CDF" w:rsidRDefault="0067638A" w:rsidP="0067638A">
      <w:r w:rsidRPr="00CC4CDF">
        <w:t>Conditional handover is supported for BL UEs and UEs in enhanced coverage.</w:t>
      </w:r>
    </w:p>
    <w:p w14:paraId="09862245" w14:textId="77777777" w:rsidR="00216C1D" w:rsidRPr="004438F2" w:rsidRDefault="00216C1D" w:rsidP="00216C1D">
      <w:pPr>
        <w:rPr>
          <w:ins w:id="95" w:author="After RAN2#121 (Ericsson)" w:date="2023-04-07T03:05:00Z"/>
          <w:lang w:eastAsia="zh-CN"/>
        </w:rPr>
      </w:pPr>
      <w:bookmarkStart w:id="96" w:name="_Toc139404041"/>
      <w:ins w:id="97"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79DD79D2" w14:textId="77777777" w:rsidR="00216C1D" w:rsidRPr="004438F2" w:rsidRDefault="00216C1D" w:rsidP="00216C1D">
      <w:pPr>
        <w:pStyle w:val="B1"/>
        <w:rPr>
          <w:ins w:id="98" w:author="After RAN2#121 (Ericsson)" w:date="2023-04-07T03:05:00Z"/>
          <w:lang w:eastAsia="zh-CN"/>
        </w:rPr>
      </w:pPr>
      <w:ins w:id="99"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ins>
    </w:p>
    <w:p w14:paraId="40975571" w14:textId="77777777" w:rsidR="00216C1D" w:rsidRPr="004438F2" w:rsidRDefault="00216C1D" w:rsidP="00216C1D">
      <w:pPr>
        <w:pStyle w:val="B1"/>
        <w:rPr>
          <w:ins w:id="100" w:author="After RAN2#121 (Ericsson)" w:date="2023-04-07T03:05:00Z"/>
          <w:lang w:eastAsia="zh-CN"/>
        </w:rPr>
      </w:pPr>
      <w:ins w:id="101" w:author="After RAN2#121 (Ericsson)" w:date="2023-04-07T03:05:00Z">
        <w:r w:rsidRPr="004438F2">
          <w:rPr>
            <w:lang w:eastAsia="zh-CN"/>
          </w:rPr>
          <w:t>-</w:t>
        </w:r>
        <w:r w:rsidRPr="004438F2">
          <w:rPr>
            <w:lang w:eastAsia="zh-CN"/>
          </w:rPr>
          <w:tab/>
          <w:t>A time-based trigger condition;</w:t>
        </w:r>
      </w:ins>
    </w:p>
    <w:p w14:paraId="08B5961D" w14:textId="77777777" w:rsidR="00216C1D" w:rsidRPr="004438F2" w:rsidRDefault="00216C1D" w:rsidP="00216C1D">
      <w:pPr>
        <w:pStyle w:val="B1"/>
        <w:rPr>
          <w:ins w:id="102" w:author="After RAN2#121 (Ericsson)" w:date="2023-04-07T03:05:00Z"/>
          <w:lang w:eastAsia="zh-CN"/>
        </w:rPr>
      </w:pPr>
      <w:ins w:id="103" w:author="After RAN2#121 (Ericsson)" w:date="2023-04-07T03:05:00Z">
        <w:r w:rsidRPr="004438F2">
          <w:rPr>
            <w:lang w:eastAsia="zh-CN"/>
          </w:rPr>
          <w:t>-</w:t>
        </w:r>
        <w:r w:rsidRPr="004438F2">
          <w:rPr>
            <w:lang w:eastAsia="zh-CN"/>
          </w:rPr>
          <w:tab/>
          <w:t>A location-based trigger condition.</w:t>
        </w:r>
      </w:ins>
    </w:p>
    <w:p w14:paraId="394C83A5" w14:textId="77777777" w:rsidR="00216C1D" w:rsidRPr="004438F2" w:rsidRDefault="00216C1D" w:rsidP="00216C1D">
      <w:pPr>
        <w:rPr>
          <w:ins w:id="104" w:author="After RAN2#121 (Ericsson)" w:date="2023-04-07T03:05:00Z"/>
          <w:lang w:eastAsia="zh-CN"/>
        </w:rPr>
      </w:pPr>
      <w:ins w:id="105" w:author="After RAN2#121 (Ericsson)" w:date="2023-04-07T03:05:00Z">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476311C1" w14:textId="77777777" w:rsidR="00216C1D" w:rsidRDefault="00216C1D" w:rsidP="00216C1D">
      <w:pPr>
        <w:rPr>
          <w:ins w:id="106" w:author="After RAN2#121 (Ericsson)" w:date="2023-04-07T03:05:00Z"/>
        </w:rPr>
      </w:pPr>
      <w:ins w:id="107" w:author="After RAN2#121 (Ericsson)" w:date="2023-04-07T03:05:00Z">
        <w:r w:rsidRPr="004438F2">
          <w:rPr>
            <w:lang w:eastAsia="zh-CN"/>
          </w:rPr>
          <w:t>It is up to UE implementation how the UE evaluates the time- or location-based trigger condition together with the RRM measurement-based event.</w:t>
        </w:r>
      </w:ins>
    </w:p>
    <w:p w14:paraId="3EACF786" w14:textId="77777777" w:rsidR="00216C1D" w:rsidRPr="00357DF0" w:rsidRDefault="00216C1D" w:rsidP="00216C1D">
      <w:pPr>
        <w:pStyle w:val="Heading4"/>
        <w:rPr>
          <w:ins w:id="108" w:author="After RAN2#122" w:date="2023-06-22T17:07:00Z"/>
        </w:rPr>
      </w:pPr>
      <w:ins w:id="109" w:author="After RAN2#122" w:date="2023-06-22T17:07:00Z">
        <w:r w:rsidRPr="00357DF0">
          <w:t>23.21.4.</w:t>
        </w:r>
      </w:ins>
      <w:ins w:id="110" w:author="After RAN2#122" w:date="2023-06-22T17:08:00Z">
        <w:r>
          <w:t>X</w:t>
        </w:r>
      </w:ins>
      <w:ins w:id="111" w:author="After RAN2#122" w:date="2023-06-22T17:07:00Z">
        <w:r w:rsidRPr="00357DF0">
          <w:tab/>
        </w:r>
      </w:ins>
      <w:ins w:id="112" w:author="After RAN2#122" w:date="2023-06-22T17:08:00Z">
        <w:r>
          <w:t>Measurements</w:t>
        </w:r>
      </w:ins>
    </w:p>
    <w:p w14:paraId="0CA0A46D" w14:textId="77777777" w:rsidR="00216C1D" w:rsidRDefault="00216C1D" w:rsidP="00216C1D">
      <w:pPr>
        <w:rPr>
          <w:ins w:id="113" w:author="After RAN2#122" w:date="2023-06-22T18:30:00Z"/>
        </w:rPr>
      </w:pPr>
      <w:ins w:id="114" w:author="After RAN2#122" w:date="2023-06-22T18:28:00Z">
        <w:r>
          <w:t xml:space="preserve">The </w:t>
        </w:r>
        <w:r w:rsidRPr="0028295D">
          <w:t>principles described in clause 10.1.</w:t>
        </w:r>
        <w:r>
          <w:t>3.0</w:t>
        </w:r>
        <w:r w:rsidRPr="0028295D">
          <w:t xml:space="preserve"> apply in NTN unless specified otherwise</w:t>
        </w:r>
        <w:r>
          <w:t>.</w:t>
        </w:r>
      </w:ins>
    </w:p>
    <w:p w14:paraId="09D0ADC9" w14:textId="77777777" w:rsidR="00216C1D" w:rsidRDefault="00216C1D" w:rsidP="00216C1D">
      <w:pPr>
        <w:rPr>
          <w:ins w:id="115" w:author="After RAN2#122" w:date="2023-06-22T18:59:00Z"/>
        </w:rPr>
      </w:pPr>
      <w:ins w:id="116" w:author="After RAN2#122" w:date="2023-06-22T18:53:00Z">
        <w:r>
          <w:t>Measurements in RRC_CONNECTED are optionally supported to reduce the time taken for RRC reestablishment.</w:t>
        </w:r>
      </w:ins>
      <w:ins w:id="117" w:author="After RAN2#122" w:date="2023-06-22T18:54:00Z">
        <w:r>
          <w:t xml:space="preserve"> The following </w:t>
        </w:r>
      </w:ins>
      <w:ins w:id="118" w:author="After RAN2#122" w:date="2023-06-22T18:56:00Z">
        <w:r>
          <w:t xml:space="preserve">triggers </w:t>
        </w:r>
      </w:ins>
      <w:ins w:id="119" w:author="After RAN2#122" w:date="2023-06-22T18:58:00Z">
        <w:r>
          <w:t>can be used</w:t>
        </w:r>
      </w:ins>
      <w:ins w:id="120" w:author="After RAN2#122" w:date="2023-06-22T18:59:00Z">
        <w:r>
          <w:t xml:space="preserve"> </w:t>
        </w:r>
      </w:ins>
      <w:ins w:id="121" w:author="After RAN2#122" w:date="2023-06-29T17:24:00Z">
        <w:r>
          <w:t xml:space="preserve">as specified in </w:t>
        </w:r>
      </w:ins>
      <w:ins w:id="122" w:author="After RAN2#122" w:date="2023-06-22T18:59:00Z">
        <w:r w:rsidRPr="00840B08">
          <w:t>TS</w:t>
        </w:r>
        <w:r>
          <w:t> </w:t>
        </w:r>
        <w:r w:rsidRPr="00840B08">
          <w:t>36.331</w:t>
        </w:r>
        <w:r>
          <w:t> </w:t>
        </w:r>
        <w:r w:rsidRPr="00840B08">
          <w:t>[16]</w:t>
        </w:r>
        <w:r>
          <w:t xml:space="preserve">: </w:t>
        </w:r>
      </w:ins>
    </w:p>
    <w:p w14:paraId="25A7B6BD" w14:textId="77777777" w:rsidR="00216C1D" w:rsidRPr="004438F2" w:rsidRDefault="00216C1D" w:rsidP="00216C1D">
      <w:pPr>
        <w:pStyle w:val="B1"/>
        <w:rPr>
          <w:ins w:id="123" w:author="After RAN2#122" w:date="2023-06-22T19:00:00Z"/>
          <w:lang w:eastAsia="zh-CN"/>
        </w:rPr>
      </w:pPr>
      <w:ins w:id="124" w:author="After RAN2#122" w:date="2023-06-22T19:00:00Z">
        <w:r w:rsidRPr="004438F2">
          <w:rPr>
            <w:lang w:eastAsia="zh-CN"/>
          </w:rPr>
          <w:t>-</w:t>
        </w:r>
        <w:r w:rsidRPr="004438F2">
          <w:rPr>
            <w:lang w:eastAsia="zh-CN"/>
          </w:rPr>
          <w:tab/>
          <w:t>A time-based trigger condition;</w:t>
        </w:r>
      </w:ins>
    </w:p>
    <w:p w14:paraId="2E1A2569" w14:textId="77777777" w:rsidR="00216C1D" w:rsidRPr="004438F2" w:rsidRDefault="00216C1D" w:rsidP="00216C1D">
      <w:pPr>
        <w:pStyle w:val="B1"/>
        <w:rPr>
          <w:ins w:id="125" w:author="After RAN2#122" w:date="2023-06-22T19:00:00Z"/>
          <w:lang w:eastAsia="zh-CN"/>
        </w:rPr>
      </w:pPr>
      <w:ins w:id="126" w:author="After RAN2#122" w:date="2023-06-22T19:00:00Z">
        <w:r w:rsidRPr="004438F2">
          <w:rPr>
            <w:lang w:eastAsia="zh-CN"/>
          </w:rPr>
          <w:t>-</w:t>
        </w:r>
        <w:r w:rsidRPr="004438F2">
          <w:rPr>
            <w:lang w:eastAsia="zh-CN"/>
          </w:rPr>
          <w:tab/>
          <w:t>A location-based trigger condition.</w:t>
        </w:r>
      </w:ins>
    </w:p>
    <w:p w14:paraId="3C1A0230" w14:textId="77777777" w:rsidR="00216C1D" w:rsidRPr="00357DF0" w:rsidRDefault="00216C1D" w:rsidP="00216C1D">
      <w:pPr>
        <w:pStyle w:val="EditorsNote"/>
        <w:rPr>
          <w:ins w:id="127" w:author="After RAN2#122" w:date="2023-06-29T17:22:00Z"/>
        </w:rPr>
      </w:pPr>
      <w:ins w:id="128" w:author="After RAN2#122" w:date="2023-06-29T17:22:00Z">
        <w:r>
          <w:t>Editor’s Note: The agreement “</w:t>
        </w:r>
        <w:r w:rsidRPr="009134E3">
          <w:t>New SIBxx is introduced to broadcast the neigh</w:t>
        </w:r>
        <w:r>
          <w:t>bor cell/satellite information.” Is expected to be captured here</w:t>
        </w:r>
      </w:ins>
      <w:ins w:id="129" w:author="After RAN2#122" w:date="2023-06-29T17:23:00Z">
        <w:r>
          <w:t xml:space="preserve">. </w:t>
        </w:r>
      </w:ins>
    </w:p>
    <w:p w14:paraId="541CFF32" w14:textId="77777777" w:rsidR="0067638A" w:rsidRPr="00CC4CDF" w:rsidRDefault="0067638A" w:rsidP="0067638A">
      <w:pPr>
        <w:pStyle w:val="Heading3"/>
      </w:pPr>
      <w:r w:rsidRPr="00CC4CDF">
        <w:rPr>
          <w:lang w:eastAsia="zh-CN"/>
        </w:rPr>
        <w:t>23.21</w:t>
      </w:r>
      <w:r w:rsidRPr="00CC4CDF">
        <w:t>.</w:t>
      </w:r>
      <w:r w:rsidRPr="00CC4CDF">
        <w:rPr>
          <w:lang w:eastAsia="zh-CN"/>
        </w:rPr>
        <w:t>5</w:t>
      </w:r>
      <w:r w:rsidRPr="00CC4CDF">
        <w:tab/>
        <w:t>Switchover</w:t>
      </w:r>
      <w:bookmarkEnd w:id="96"/>
    </w:p>
    <w:p w14:paraId="7777118E" w14:textId="77777777" w:rsidR="0067638A" w:rsidRPr="00CC4CDF" w:rsidRDefault="0067638A" w:rsidP="0067638A">
      <w:pPr>
        <w:pStyle w:val="Heading4"/>
      </w:pPr>
      <w:bookmarkStart w:id="130" w:name="_Toc139404042"/>
      <w:r w:rsidRPr="00CC4CDF">
        <w:rPr>
          <w:lang w:eastAsia="zh-CN"/>
        </w:rPr>
        <w:t>23.21</w:t>
      </w:r>
      <w:r w:rsidRPr="00CC4CDF">
        <w:t>.</w:t>
      </w:r>
      <w:r w:rsidRPr="00CC4CDF">
        <w:rPr>
          <w:lang w:eastAsia="zh-CN"/>
        </w:rPr>
        <w:t>5</w:t>
      </w:r>
      <w:r w:rsidRPr="00CC4CDF">
        <w:t>.1</w:t>
      </w:r>
      <w:r w:rsidRPr="00CC4CDF">
        <w:tab/>
        <w:t>Definitions</w:t>
      </w:r>
      <w:bookmarkEnd w:id="130"/>
    </w:p>
    <w:p w14:paraId="2DE9601C" w14:textId="77777777" w:rsidR="0067638A" w:rsidRPr="00CC4CDF" w:rsidRDefault="0067638A" w:rsidP="0067638A">
      <w:r w:rsidRPr="00CC4CDF">
        <w:t>A feeder link switchover is the procedure where the feeder link</w:t>
      </w:r>
      <w:r w:rsidRPr="00CC4CDF">
        <w:rPr>
          <w:rFonts w:eastAsia="SimSun"/>
          <w:lang w:eastAsia="zh-CN"/>
        </w:rPr>
        <w:t xml:space="preserve"> </w:t>
      </w:r>
      <w:r w:rsidRPr="00CC4CDF">
        <w:t>is changed from a source NTN Gateway to a target NTN Gateway for a specific NTN payload. The feeder link switchover is a Transport Network Layer procedure.</w:t>
      </w:r>
    </w:p>
    <w:p w14:paraId="6D18DED2" w14:textId="77777777" w:rsidR="0067638A" w:rsidRPr="00CC4CDF" w:rsidRDefault="0067638A" w:rsidP="0067638A">
      <w:r w:rsidRPr="00CC4CDF">
        <w:t>Both hard and soft feeder link switchover are applicable to NTN.</w:t>
      </w:r>
    </w:p>
    <w:p w14:paraId="6E291785" w14:textId="77777777" w:rsidR="0067638A" w:rsidRPr="00CC4CDF" w:rsidRDefault="0067638A" w:rsidP="0067638A">
      <w:pPr>
        <w:pStyle w:val="Heading4"/>
      </w:pPr>
      <w:bookmarkStart w:id="131" w:name="_Toc139404043"/>
      <w:r w:rsidRPr="00CC4CDF">
        <w:rPr>
          <w:lang w:eastAsia="zh-CN"/>
        </w:rPr>
        <w:t>23.21</w:t>
      </w:r>
      <w:r w:rsidRPr="00CC4CDF">
        <w:t>.</w:t>
      </w:r>
      <w:r w:rsidRPr="00CC4CDF">
        <w:rPr>
          <w:lang w:eastAsia="zh-CN"/>
        </w:rPr>
        <w:t>5</w:t>
      </w:r>
      <w:r w:rsidRPr="00CC4CDF">
        <w:t>.2</w:t>
      </w:r>
      <w:r w:rsidRPr="00CC4CDF">
        <w:tab/>
        <w:t>Assumptions</w:t>
      </w:r>
      <w:bookmarkEnd w:id="131"/>
    </w:p>
    <w:p w14:paraId="397845A0" w14:textId="77777777" w:rsidR="0067638A" w:rsidRPr="00CC4CDF" w:rsidRDefault="0067638A" w:rsidP="0067638A">
      <w:r w:rsidRPr="00CC4CDF">
        <w:t>A feeder link switch</w:t>
      </w:r>
      <w:r w:rsidRPr="00CC4CDF">
        <w:rPr>
          <w:rFonts w:eastAsia="SimSun"/>
          <w:lang w:eastAsia="zh-CN"/>
        </w:rPr>
        <w:t xml:space="preserve">over </w:t>
      </w:r>
      <w:r w:rsidRPr="00CC4CDF">
        <w:t xml:space="preserve">may result in transferring the established connection for the affected UEs between two </w:t>
      </w:r>
      <w:r w:rsidRPr="00CC4CDF">
        <w:rPr>
          <w:lang w:eastAsia="zh-CN"/>
        </w:rPr>
        <w:t>e</w:t>
      </w:r>
      <w:r w:rsidRPr="00CC4CDF">
        <w:t>NBs.</w:t>
      </w:r>
    </w:p>
    <w:p w14:paraId="5613CBC9" w14:textId="77777777" w:rsidR="0067638A" w:rsidRPr="00CC4CDF" w:rsidRDefault="0067638A" w:rsidP="0067638A">
      <w:r w:rsidRPr="00CC4CDF">
        <w:t>For soft feeder link switchover, an NTN payload is able to connect to more than one NTN Gateway during a given period i.e. a temporary overlap can be ensured during the transition between the feeder links.</w:t>
      </w:r>
    </w:p>
    <w:p w14:paraId="507DD4DB" w14:textId="77777777" w:rsidR="0067638A" w:rsidRPr="00CC4CDF" w:rsidRDefault="0067638A" w:rsidP="0067638A">
      <w:r w:rsidRPr="00CC4CDF">
        <w:t>For hard feeder link switchover, an NTN payload only connects to one NTN Gateway at any given time i.e. a radio link interruption may occur during the transition between the feeder links.</w:t>
      </w:r>
    </w:p>
    <w:p w14:paraId="065BB28C" w14:textId="77777777" w:rsidR="0067638A" w:rsidRPr="00CC4CDF" w:rsidRDefault="0067638A" w:rsidP="0067638A">
      <w:pPr>
        <w:pStyle w:val="Heading4"/>
      </w:pPr>
      <w:bookmarkStart w:id="132" w:name="_Toc139404044"/>
      <w:r w:rsidRPr="00CC4CDF">
        <w:rPr>
          <w:lang w:eastAsia="zh-CN"/>
        </w:rPr>
        <w:t>23.21</w:t>
      </w:r>
      <w:r w:rsidRPr="00CC4CDF">
        <w:t>.</w:t>
      </w:r>
      <w:r w:rsidRPr="00CC4CDF">
        <w:rPr>
          <w:lang w:eastAsia="zh-CN"/>
        </w:rPr>
        <w:t>5</w:t>
      </w:r>
      <w:r w:rsidRPr="00CC4CDF">
        <w:t>.3</w:t>
      </w:r>
      <w:r w:rsidRPr="00CC4CDF">
        <w:tab/>
        <w:t>Procedures</w:t>
      </w:r>
      <w:bookmarkEnd w:id="132"/>
    </w:p>
    <w:p w14:paraId="06DD684C" w14:textId="77777777" w:rsidR="0067638A" w:rsidRPr="00CC4CDF" w:rsidRDefault="0067638A" w:rsidP="0067638A">
      <w:r w:rsidRPr="00CC4CDF">
        <w:rPr>
          <w:lang w:eastAsia="zh-CN"/>
        </w:rPr>
        <w:t xml:space="preserve">The NTN control function determines the point in time when the feeder link switchover between two eNBs is performed. </w:t>
      </w:r>
      <w:r w:rsidRPr="00CC4CDF">
        <w:t xml:space="preserve">For BL UEs and UEs in enhanced coverage, the </w:t>
      </w:r>
      <w:r w:rsidRPr="00CC4CDF">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76F6F15D" w14:textId="77777777" w:rsidR="0067638A" w:rsidRPr="00CC4CDF" w:rsidRDefault="0067638A" w:rsidP="0067638A">
      <w:pPr>
        <w:pStyle w:val="Heading3"/>
      </w:pPr>
      <w:bookmarkStart w:id="133" w:name="_Toc139404045"/>
      <w:r w:rsidRPr="00CC4CDF">
        <w:rPr>
          <w:lang w:eastAsia="zh-CN"/>
        </w:rPr>
        <w:t>23.21</w:t>
      </w:r>
      <w:r w:rsidRPr="00CC4CDF">
        <w:t>.</w:t>
      </w:r>
      <w:r w:rsidRPr="00CC4CDF">
        <w:rPr>
          <w:lang w:eastAsia="zh-CN"/>
        </w:rPr>
        <w:t>6</w:t>
      </w:r>
      <w:r w:rsidRPr="00CC4CDF">
        <w:tab/>
        <w:t>Signalling</w:t>
      </w:r>
      <w:bookmarkEnd w:id="133"/>
    </w:p>
    <w:p w14:paraId="7A96811B" w14:textId="77777777" w:rsidR="0067638A" w:rsidRPr="00CC4CDF" w:rsidRDefault="0067638A" w:rsidP="0067638A">
      <w:r w:rsidRPr="00CC4CDF">
        <w:t>The Cell Identity, as defined in TS 3</w:t>
      </w:r>
      <w:r w:rsidRPr="00CC4CDF">
        <w:rPr>
          <w:lang w:eastAsia="zh-CN"/>
        </w:rPr>
        <w:t>6</w:t>
      </w:r>
      <w:r w:rsidRPr="00CC4CDF">
        <w:t>.413 [2</w:t>
      </w:r>
      <w:r w:rsidRPr="00CC4CDF">
        <w:rPr>
          <w:lang w:eastAsia="zh-CN"/>
        </w:rPr>
        <w:t>5</w:t>
      </w:r>
      <w:r w:rsidRPr="00CC4CDF">
        <w:t>] and TS 3</w:t>
      </w:r>
      <w:r w:rsidRPr="00CC4CDF">
        <w:rPr>
          <w:lang w:eastAsia="zh-CN"/>
        </w:rPr>
        <w:t>6</w:t>
      </w:r>
      <w:r w:rsidRPr="00CC4CDF">
        <w:t>.4</w:t>
      </w:r>
      <w:r w:rsidRPr="00CC4CDF">
        <w:rPr>
          <w:lang w:eastAsia="zh-CN"/>
        </w:rPr>
        <w:t>2</w:t>
      </w:r>
      <w:r w:rsidRPr="00CC4CDF">
        <w:t>3 [</w:t>
      </w:r>
      <w:r w:rsidRPr="00CC4CDF">
        <w:rPr>
          <w:lang w:eastAsia="zh-CN"/>
        </w:rPr>
        <w:t>42</w:t>
      </w:r>
      <w:r w:rsidRPr="00CC4CDF">
        <w:t>], corresponds to a Mapped Cell ID, irrespective of the orbit of the NTN payload or the types of service links supported in the following cases:</w:t>
      </w:r>
    </w:p>
    <w:p w14:paraId="7AE3E09E" w14:textId="77777777" w:rsidR="0067638A" w:rsidRPr="00CC4CDF" w:rsidRDefault="0067638A" w:rsidP="0067638A">
      <w:pPr>
        <w:pStyle w:val="B1"/>
      </w:pPr>
      <w:r w:rsidRPr="00CC4CDF">
        <w:t>-</w:t>
      </w:r>
      <w:r w:rsidRPr="00CC4CDF">
        <w:tab/>
        <w:t xml:space="preserve">The Cell Identity indicated by the </w:t>
      </w:r>
      <w:r w:rsidRPr="00CC4CDF">
        <w:rPr>
          <w:lang w:eastAsia="zh-CN"/>
        </w:rPr>
        <w:t>e</w:t>
      </w:r>
      <w:r w:rsidRPr="00CC4CDF">
        <w:t>NB to the Core Network as part of the User Location Information, or as E-UTRAN CGI in the related S1AP messages;</w:t>
      </w:r>
    </w:p>
    <w:p w14:paraId="132CF853" w14:textId="77777777" w:rsidR="0067638A" w:rsidRPr="00CC4CDF" w:rsidRDefault="0067638A" w:rsidP="0067638A">
      <w:pPr>
        <w:pStyle w:val="B1"/>
      </w:pPr>
      <w:r w:rsidRPr="00CC4CDF">
        <w:t>-</w:t>
      </w:r>
      <w:r w:rsidRPr="00CC4CDF">
        <w:tab/>
        <w:t xml:space="preserve">The Cell Identity </w:t>
      </w:r>
      <w:r w:rsidRPr="00CC4CDF">
        <w:rPr>
          <w:lang w:eastAsia="zh-CN"/>
        </w:rPr>
        <w:t>used for Paging Optimization in S1 interface</w:t>
      </w:r>
      <w:r w:rsidRPr="00CC4CDF">
        <w:t>;</w:t>
      </w:r>
    </w:p>
    <w:p w14:paraId="3F3F436C" w14:textId="77777777" w:rsidR="0067638A" w:rsidRPr="00CC4CDF" w:rsidRDefault="0067638A" w:rsidP="0067638A">
      <w:pPr>
        <w:pStyle w:val="B1"/>
      </w:pPr>
      <w:r w:rsidRPr="00CC4CDF">
        <w:t>-</w:t>
      </w:r>
      <w:r w:rsidRPr="00CC4CDF">
        <w:tab/>
        <w:t>The Cell Identity used for PWS.</w:t>
      </w:r>
    </w:p>
    <w:p w14:paraId="790A53B5" w14:textId="77777777" w:rsidR="0067638A" w:rsidRPr="00CC4CDF" w:rsidRDefault="0067638A" w:rsidP="0067638A">
      <w:r w:rsidRPr="00CC4CDF">
        <w:rPr>
          <w:lang w:eastAsia="zh-CN"/>
        </w:rPr>
        <w:t>For a BL UE or a UE in enhanced coverage, t</w:t>
      </w:r>
      <w:r w:rsidRPr="00CC4CDF">
        <w:t>he Cell Identity included within the target identification of the handover messages allows identifying the correct target cell.</w:t>
      </w:r>
    </w:p>
    <w:p w14:paraId="1C3A3FEA" w14:textId="77777777" w:rsidR="0067638A" w:rsidRPr="00CC4CDF" w:rsidRDefault="0067638A" w:rsidP="0067638A">
      <w:r w:rsidRPr="00CC4CDF">
        <w:t>The mapping between Mapped Cell ID(s) and geographical area(s) is configured in the RAN and Core Network.</w:t>
      </w:r>
    </w:p>
    <w:p w14:paraId="01B2C2E9" w14:textId="77777777" w:rsidR="0067638A" w:rsidRPr="00CC4CDF" w:rsidRDefault="0067638A" w:rsidP="0067638A">
      <w:pPr>
        <w:pStyle w:val="NO"/>
      </w:pPr>
      <w:r w:rsidRPr="00CC4CDF">
        <w:t>NOTE 1:</w:t>
      </w:r>
      <w:r w:rsidRPr="00CC4CDF">
        <w:tab/>
        <w:t>A specific geographical location may be mapped to multiple Mapped Cell ID(s), and such Mapped Cell IDs may be configured to indicate different geographical areas (e.g. overlapping and/or with different dimensions).</w:t>
      </w:r>
    </w:p>
    <w:p w14:paraId="41EC2263" w14:textId="77777777" w:rsidR="0067638A" w:rsidRPr="00CC4CDF" w:rsidRDefault="0067638A" w:rsidP="0067638A">
      <w:r w:rsidRPr="00CC4CDF">
        <w:rPr>
          <w:rFonts w:eastAsia="SimSun"/>
          <w:lang w:eastAsia="zh-CN"/>
        </w:rPr>
        <w:t>T</w:t>
      </w:r>
      <w:r w:rsidRPr="00CC4CDF">
        <w:t xml:space="preserve">he </w:t>
      </w:r>
      <w:r w:rsidRPr="00CC4CDF">
        <w:rPr>
          <w:lang w:eastAsia="zh-CN"/>
        </w:rPr>
        <w:t>e</w:t>
      </w:r>
      <w:r w:rsidRPr="00CC4CDF">
        <w:t xml:space="preserve">NB is responsible for constructing the </w:t>
      </w:r>
      <w:r w:rsidRPr="00CC4CDF">
        <w:rPr>
          <w:lang w:eastAsia="zh-CN"/>
        </w:rPr>
        <w:t>Mapped Cell ID</w:t>
      </w:r>
      <w:r w:rsidRPr="00CC4CDF">
        <w:t xml:space="preserve"> based on the UE location information received from the UE, if available. The mapping may be pre-configured (e.g., depending on operator's policy) or up to implementation.</w:t>
      </w:r>
    </w:p>
    <w:p w14:paraId="1AEFFD39" w14:textId="77777777" w:rsidR="0067638A" w:rsidRPr="00CC4CDF" w:rsidRDefault="0067638A" w:rsidP="0067638A">
      <w:pPr>
        <w:pStyle w:val="NO"/>
      </w:pPr>
      <w:r w:rsidRPr="00CC4CDF">
        <w:t>NOTE 2:</w:t>
      </w:r>
      <w:r w:rsidRPr="00CC4CDF">
        <w:tab/>
        <w:t>As described in TS 23.</w:t>
      </w:r>
      <w:r w:rsidRPr="00CC4CDF">
        <w:rPr>
          <w:lang w:eastAsia="zh-CN"/>
        </w:rPr>
        <w:t>4</w:t>
      </w:r>
      <w:r w:rsidRPr="00CC4CDF">
        <w:t>01 [</w:t>
      </w:r>
      <w:r w:rsidRPr="00CC4CDF">
        <w:rPr>
          <w:lang w:eastAsia="zh-CN"/>
        </w:rPr>
        <w:t>17</w:t>
      </w:r>
      <w:r w:rsidRPr="00CC4CDF">
        <w:t xml:space="preserve">], the User Location Information may enable the </w:t>
      </w:r>
      <w:r w:rsidRPr="00CC4CDF">
        <w:rPr>
          <w:lang w:eastAsia="zh-CN"/>
        </w:rPr>
        <w:t>MME</w:t>
      </w:r>
      <w:r w:rsidRPr="00CC4CDF">
        <w:t xml:space="preserve"> to determine whether the UE is allowed to operate at its present location. Special Mapped Cell IDs or TACs may be used to indicate areas outside the serving PLMN's country.</w:t>
      </w:r>
    </w:p>
    <w:p w14:paraId="03D2223E" w14:textId="77777777" w:rsidR="0067638A" w:rsidRPr="00CC4CDF" w:rsidRDefault="0067638A" w:rsidP="0067638A">
      <w:r w:rsidRPr="00CC4CDF">
        <w:rPr>
          <w:rFonts w:eastAsia="SimSun"/>
          <w:lang w:eastAsia="zh-CN"/>
        </w:rPr>
        <w:t>T</w:t>
      </w:r>
      <w:r w:rsidRPr="00CC4CDF">
        <w:t xml:space="preserve">he </w:t>
      </w:r>
      <w:r w:rsidRPr="00CC4CDF">
        <w:rPr>
          <w:rFonts w:eastAsia="SimSun"/>
          <w:lang w:eastAsia="zh-CN"/>
        </w:rPr>
        <w:t>eNB</w:t>
      </w:r>
      <w:r w:rsidRPr="00CC4CDF">
        <w:t xml:space="preserve"> reports the broadcast</w:t>
      </w:r>
      <w:r w:rsidRPr="00CC4CDF">
        <w:rPr>
          <w:rFonts w:eastAsia="SimSun"/>
          <w:lang w:eastAsia="zh-CN"/>
        </w:rPr>
        <w:t>ed</w:t>
      </w:r>
      <w:r w:rsidRPr="00CC4CDF">
        <w:t xml:space="preserve"> TAC(s) of the selected PLMN to the </w:t>
      </w:r>
      <w:r w:rsidRPr="00CC4CDF">
        <w:rPr>
          <w:rFonts w:eastAsia="SimSun"/>
          <w:lang w:eastAsia="zh-CN"/>
        </w:rPr>
        <w:t>MME</w:t>
      </w:r>
      <w:r w:rsidRPr="00CC4CDF">
        <w:t xml:space="preserve">. In case the </w:t>
      </w:r>
      <w:r w:rsidRPr="00CC4CDF">
        <w:rPr>
          <w:rFonts w:eastAsia="SimSun"/>
          <w:lang w:eastAsia="zh-CN"/>
        </w:rPr>
        <w:t>eNB</w:t>
      </w:r>
      <w:r w:rsidRPr="00CC4CDF">
        <w:t xml:space="preserve"> knows the UE's location information, the </w:t>
      </w:r>
      <w:r w:rsidRPr="00CC4CDF">
        <w:rPr>
          <w:rFonts w:eastAsia="SimSun"/>
          <w:lang w:eastAsia="zh-CN"/>
        </w:rPr>
        <w:t>eNB</w:t>
      </w:r>
      <w:r w:rsidRPr="00CC4CDF">
        <w:t xml:space="preserve"> may determine the TAI the UE is currently located in and provide that TAI to the </w:t>
      </w:r>
      <w:r w:rsidRPr="00CC4CDF">
        <w:rPr>
          <w:rFonts w:eastAsia="SimSun"/>
          <w:lang w:eastAsia="zh-CN"/>
        </w:rPr>
        <w:t>MME</w:t>
      </w:r>
      <w:r w:rsidRPr="00CC4CDF">
        <w:t>.</w:t>
      </w:r>
    </w:p>
    <w:p w14:paraId="2F785048" w14:textId="77777777" w:rsidR="0067638A" w:rsidRPr="00CC4CDF" w:rsidRDefault="0067638A" w:rsidP="0067638A">
      <w:pPr>
        <w:pStyle w:val="Heading3"/>
        <w:rPr>
          <w:lang w:eastAsia="zh-CN"/>
        </w:rPr>
      </w:pPr>
      <w:bookmarkStart w:id="134" w:name="_Toc139404046"/>
      <w:r w:rsidRPr="00CC4CDF">
        <w:t>23.21.</w:t>
      </w:r>
      <w:r w:rsidRPr="00CC4CDF">
        <w:rPr>
          <w:lang w:eastAsia="zh-CN"/>
        </w:rPr>
        <w:t>7</w:t>
      </w:r>
      <w:r w:rsidRPr="00CC4CDF">
        <w:tab/>
      </w:r>
      <w:r w:rsidRPr="00CC4CDF">
        <w:rPr>
          <w:lang w:eastAsia="zh-CN"/>
        </w:rPr>
        <w:t>MME(Re-)Selection by eNB</w:t>
      </w:r>
      <w:bookmarkEnd w:id="134"/>
    </w:p>
    <w:p w14:paraId="35ACB6FE" w14:textId="77777777" w:rsidR="0067638A" w:rsidRPr="00CC4CDF" w:rsidRDefault="0067638A" w:rsidP="0067638A">
      <w:pPr>
        <w:rPr>
          <w:rFonts w:eastAsia="SimSun"/>
        </w:rPr>
      </w:pPr>
      <w:r w:rsidRPr="00CC4CDF">
        <w:rPr>
          <w:rFonts w:eastAsia="SimSun"/>
        </w:rPr>
        <w:t xml:space="preserve">The </w:t>
      </w:r>
      <w:r w:rsidRPr="00CC4CDF">
        <w:rPr>
          <w:rFonts w:eastAsia="SimSun"/>
          <w:lang w:eastAsia="zh-CN"/>
        </w:rPr>
        <w:t>e</w:t>
      </w:r>
      <w:r w:rsidRPr="00CC4CDF">
        <w:rPr>
          <w:rFonts w:eastAsia="SimSun"/>
        </w:rPr>
        <w:t>NB implements the NAS Node Selection Function specified in TS 3</w:t>
      </w:r>
      <w:r w:rsidRPr="00CC4CDF">
        <w:rPr>
          <w:rFonts w:eastAsia="SimSun"/>
          <w:lang w:eastAsia="zh-CN"/>
        </w:rPr>
        <w:t>6</w:t>
      </w:r>
      <w:r w:rsidRPr="00CC4CDF">
        <w:rPr>
          <w:rFonts w:eastAsia="SimSun"/>
        </w:rPr>
        <w:t>.410 [95].</w:t>
      </w:r>
    </w:p>
    <w:p w14:paraId="3DF50A23" w14:textId="77777777" w:rsidR="0067638A" w:rsidRPr="00CC4CDF" w:rsidRDefault="0067638A" w:rsidP="0067638A">
      <w:pPr>
        <w:spacing w:afterLines="50" w:after="120"/>
      </w:pPr>
      <w:r w:rsidRPr="00CC4CDF">
        <w:rPr>
          <w:rFonts w:eastAsia="Yu Mincho"/>
        </w:rPr>
        <w:t>For a RRC_CONNECTED UE,</w:t>
      </w:r>
      <w:r w:rsidRPr="00CC4CDF">
        <w:rPr>
          <w:lang w:eastAsia="zh-CN"/>
        </w:rPr>
        <w:t xml:space="preserve"> </w:t>
      </w:r>
      <w:r w:rsidRPr="00CC4CDF">
        <w:t xml:space="preserve">the </w:t>
      </w:r>
      <w:r w:rsidRPr="00CC4CDF">
        <w:rPr>
          <w:lang w:eastAsia="zh-CN"/>
        </w:rPr>
        <w:t>e</w:t>
      </w:r>
      <w:r w:rsidRPr="00CC4CDF">
        <w:t xml:space="preserve">NB ensures that the </w:t>
      </w:r>
      <w:r w:rsidRPr="00CC4CDF">
        <w:rPr>
          <w:lang w:eastAsia="zh-CN"/>
        </w:rPr>
        <w:t xml:space="preserve">BL </w:t>
      </w:r>
      <w:r w:rsidRPr="00CC4CDF">
        <w:t xml:space="preserve">UE </w:t>
      </w:r>
      <w:r w:rsidRPr="00CC4CDF">
        <w:rPr>
          <w:lang w:eastAsia="zh-CN"/>
        </w:rPr>
        <w:t xml:space="preserve">or the UE in enhanced coverage </w:t>
      </w:r>
      <w:r w:rsidRPr="00CC4CDF">
        <w:t xml:space="preserve">connects to an </w:t>
      </w:r>
      <w:r w:rsidRPr="00CC4CDF">
        <w:rPr>
          <w:lang w:eastAsia="zh-CN"/>
        </w:rPr>
        <w:t>MME</w:t>
      </w:r>
      <w:r w:rsidRPr="00CC4CDF">
        <w:t xml:space="preserve"> that serves the country in which the UE is located.</w:t>
      </w:r>
      <w:r w:rsidRPr="00CC4CDF">
        <w:rPr>
          <w:lang w:eastAsia="zh-CN"/>
        </w:rPr>
        <w:t xml:space="preserve"> </w:t>
      </w:r>
      <w:r w:rsidRPr="00CC4CDF">
        <w:t xml:space="preserve">If the </w:t>
      </w:r>
      <w:r w:rsidRPr="00CC4CDF">
        <w:rPr>
          <w:lang w:eastAsia="zh-CN"/>
        </w:rPr>
        <w:t>e</w:t>
      </w:r>
      <w:r w:rsidRPr="00CC4CDF">
        <w:t xml:space="preserve">NB detects that a BL UE or a UE in enhanced coverage is in a different country to that served by the serving </w:t>
      </w:r>
      <w:r w:rsidRPr="00CC4CDF">
        <w:rPr>
          <w:lang w:eastAsia="zh-CN"/>
        </w:rPr>
        <w:t>MME</w:t>
      </w:r>
      <w:r w:rsidRPr="00CC4CDF">
        <w:t>, it should</w:t>
      </w:r>
      <w:r w:rsidRPr="00CC4CDF">
        <w:rPr>
          <w:lang w:eastAsia="zh-CN"/>
        </w:rPr>
        <w:t xml:space="preserve"> </w:t>
      </w:r>
      <w:r w:rsidRPr="00CC4CDF">
        <w:t xml:space="preserve">perform an </w:t>
      </w:r>
      <w:r w:rsidRPr="00CC4CDF">
        <w:rPr>
          <w:lang w:eastAsia="zh-CN"/>
        </w:rPr>
        <w:t>S1</w:t>
      </w:r>
      <w:r w:rsidRPr="00CC4CDF">
        <w:t xml:space="preserve"> handover to change to an appropriate</w:t>
      </w:r>
      <w:r w:rsidRPr="00CC4CDF">
        <w:rPr>
          <w:lang w:eastAsia="zh-CN"/>
        </w:rPr>
        <w:t xml:space="preserve"> MME or </w:t>
      </w:r>
      <w:r w:rsidRPr="00CC4CDF">
        <w:t xml:space="preserve">initiate </w:t>
      </w:r>
      <w:r w:rsidRPr="00CC4CDF">
        <w:rPr>
          <w:rFonts w:eastAsia="SimSun"/>
          <w:lang w:eastAsia="zh-CN"/>
        </w:rPr>
        <w:t>an</w:t>
      </w:r>
      <w:r w:rsidRPr="00CC4CDF">
        <w:rPr>
          <w:rFonts w:eastAsia="SimSun"/>
          <w:i/>
          <w:lang w:eastAsia="zh-CN"/>
        </w:rPr>
        <w:t xml:space="preserve"> </w:t>
      </w:r>
      <w:r w:rsidRPr="00CC4CDF">
        <w:rPr>
          <w:rFonts w:eastAsia="Yu Mincho"/>
        </w:rPr>
        <w:t xml:space="preserve">UE Context Release Request </w:t>
      </w:r>
      <w:r w:rsidRPr="00CC4CDF">
        <w:rPr>
          <w:rFonts w:eastAsia="SimSun"/>
          <w:lang w:eastAsia="zh-CN"/>
        </w:rPr>
        <w:t>procedure</w:t>
      </w:r>
      <w:r w:rsidRPr="00CC4CDF">
        <w:t xml:space="preserve"> towards the serving </w:t>
      </w:r>
      <w:r w:rsidRPr="00CC4CDF">
        <w:rPr>
          <w:lang w:eastAsia="zh-CN"/>
        </w:rPr>
        <w:t>MME</w:t>
      </w:r>
      <w:r w:rsidRPr="00CC4CDF">
        <w:t xml:space="preserve"> (in which case the </w:t>
      </w:r>
      <w:r w:rsidRPr="00CC4CDF">
        <w:rPr>
          <w:rFonts w:eastAsia="SimSun"/>
          <w:lang w:eastAsia="zh-CN"/>
        </w:rPr>
        <w:t>MME</w:t>
      </w:r>
      <w:r w:rsidRPr="00CC4CDF">
        <w:t xml:space="preserve"> may decide to detach the UE)</w:t>
      </w:r>
      <w:r w:rsidRPr="00CC4CDF">
        <w:rPr>
          <w:rFonts w:eastAsia="SimSun"/>
          <w:lang w:eastAsia="zh-CN"/>
        </w:rPr>
        <w:t>.</w:t>
      </w:r>
    </w:p>
    <w:p w14:paraId="7C92AEB6" w14:textId="77777777" w:rsidR="0067638A" w:rsidRPr="00CC4CDF" w:rsidRDefault="0067638A" w:rsidP="0067638A">
      <w:pPr>
        <w:rPr>
          <w:rFonts w:eastAsia="SimSun"/>
        </w:rPr>
      </w:pPr>
      <w:r w:rsidRPr="00CC4CDF">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22457FB2" w14:textId="77777777" w:rsidR="0067638A" w:rsidRPr="00CC4CDF" w:rsidRDefault="0067638A" w:rsidP="0067638A">
      <w:pPr>
        <w:pStyle w:val="Heading3"/>
      </w:pPr>
      <w:bookmarkStart w:id="135" w:name="_Toc139404047"/>
      <w:r w:rsidRPr="00CC4CDF">
        <w:rPr>
          <w:lang w:eastAsia="zh-CN"/>
        </w:rPr>
        <w:t>23.21</w:t>
      </w:r>
      <w:r w:rsidRPr="00CC4CDF">
        <w:t>.</w:t>
      </w:r>
      <w:r w:rsidRPr="00CC4CDF">
        <w:rPr>
          <w:lang w:eastAsia="zh-CN"/>
        </w:rPr>
        <w:t>8</w:t>
      </w:r>
      <w:r w:rsidRPr="00CC4CDF">
        <w:tab/>
        <w:t>O&amp;M Requirements</w:t>
      </w:r>
      <w:bookmarkEnd w:id="135"/>
    </w:p>
    <w:p w14:paraId="5F4081A4" w14:textId="77777777" w:rsidR="0067638A" w:rsidRPr="00CC4CDF" w:rsidRDefault="0067638A" w:rsidP="0067638A">
      <w:pPr>
        <w:rPr>
          <w:lang w:eastAsia="zh-CN"/>
        </w:rPr>
      </w:pPr>
      <w:r w:rsidRPr="00CC4CDF">
        <w:t>Th</w:t>
      </w:r>
      <w:r w:rsidRPr="00CC4CDF">
        <w:rPr>
          <w:lang w:eastAsia="zh-CN"/>
        </w:rPr>
        <w:t>e</w:t>
      </w:r>
      <w:r w:rsidRPr="00CC4CDF">
        <w:t xml:space="preserve"> NTN related parameters shall be provided by O&amp;M to the </w:t>
      </w:r>
      <w:r w:rsidRPr="00CC4CDF">
        <w:rPr>
          <w:lang w:eastAsia="zh-CN"/>
        </w:rPr>
        <w:t>e</w:t>
      </w:r>
      <w:r w:rsidRPr="00CC4CDF">
        <w:t>NB providing non-terrestrial access</w:t>
      </w:r>
      <w:r w:rsidRPr="00CC4CDF">
        <w:rPr>
          <w:lang w:eastAsia="zh-CN"/>
        </w:rPr>
        <w:t>, as specified in TS 38.300 [79].</w:t>
      </w:r>
    </w:p>
    <w:p w14:paraId="48BA5056" w14:textId="77777777" w:rsidR="0067638A" w:rsidRPr="00CC4CDF" w:rsidRDefault="0067638A" w:rsidP="0067638A">
      <w:pPr>
        <w:pStyle w:val="Heading3"/>
        <w:rPr>
          <w:noProof/>
        </w:rPr>
      </w:pPr>
      <w:bookmarkStart w:id="136" w:name="_Toc139404048"/>
      <w:r w:rsidRPr="00CC4CDF">
        <w:rPr>
          <w:noProof/>
        </w:rPr>
        <w:t>23.21.9</w:t>
      </w:r>
      <w:r w:rsidRPr="00CC4CDF">
        <w:rPr>
          <w:noProof/>
        </w:rPr>
        <w:tab/>
        <w:t>Coarse UE location reporting</w:t>
      </w:r>
      <w:bookmarkEnd w:id="136"/>
    </w:p>
    <w:p w14:paraId="2EA8D254" w14:textId="77777777" w:rsidR="0067638A" w:rsidRPr="00CC4CDF" w:rsidDel="00F00E5A" w:rsidRDefault="0067638A" w:rsidP="0067638A">
      <w:pPr>
        <w:rPr>
          <w:noProof/>
        </w:rPr>
      </w:pPr>
      <w:r w:rsidRPr="00CC4CDF">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bookmarkEnd w:id="19"/>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32033A">
        <w:trPr>
          <w:trHeight w:val="196"/>
        </w:trPr>
        <w:tc>
          <w:tcPr>
            <w:tcW w:w="9797" w:type="dxa"/>
            <w:shd w:val="clear" w:color="auto" w:fill="FDE9D9"/>
            <w:vAlign w:val="center"/>
          </w:tcPr>
          <w:p w14:paraId="069F9466"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5285C878" w14:textId="77777777" w:rsidR="00626B88" w:rsidRPr="00CC4CDF" w:rsidRDefault="00626B88" w:rsidP="00626B88">
      <w:pPr>
        <w:pStyle w:val="Heading8"/>
      </w:pPr>
      <w:bookmarkStart w:id="137" w:name="_Toc139404095"/>
      <w:r w:rsidRPr="00CC4CDF">
        <w:t xml:space="preserve">Annex </w:t>
      </w:r>
      <w:r w:rsidRPr="00CC4CDF">
        <w:rPr>
          <w:lang w:eastAsia="zh-CN"/>
        </w:rPr>
        <w:t>P (informative):</w:t>
      </w:r>
      <w:r w:rsidRPr="00CC4CDF">
        <w:br/>
        <w:t>Example implementation of Non-Terrestrial Networks</w:t>
      </w:r>
      <w:bookmarkEnd w:id="137"/>
    </w:p>
    <w:p w14:paraId="71687629" w14:textId="77777777" w:rsidR="00626B88" w:rsidRPr="00CC4CDF" w:rsidRDefault="00626B88" w:rsidP="00626B88">
      <w:r w:rsidRPr="00CC4CDF">
        <w:t>The following figure illustrates an example implementation of a Non-Terrestrial Network for transparent NTN payload:</w:t>
      </w:r>
    </w:p>
    <w:p w14:paraId="4F8A098A" w14:textId="77777777" w:rsidR="00626B88" w:rsidRPr="00CC4CDF" w:rsidRDefault="00626B88" w:rsidP="00626B88">
      <w:pPr>
        <w:pStyle w:val="TH"/>
      </w:pPr>
      <w:r w:rsidRPr="00CC4CDF">
        <w:object w:dxaOrig="6555" w:dyaOrig="2475" w14:anchorId="1135A84A">
          <v:shape id="_x0000_i1028" type="#_x0000_t75" style="width:461.15pt;height:173.6pt" o:ole="">
            <v:imagedata r:id="rId21" o:title=""/>
          </v:shape>
          <o:OLEObject Type="Embed" ProgID="Visio.Drawing.15" ShapeID="_x0000_i1028" DrawAspect="Content" ObjectID="_1753259865" r:id="rId22"/>
        </w:object>
      </w:r>
    </w:p>
    <w:p w14:paraId="7D9CDCB4" w14:textId="77777777" w:rsidR="00626B88" w:rsidRPr="00CC4CDF" w:rsidRDefault="00626B88" w:rsidP="00626B88">
      <w:pPr>
        <w:pStyle w:val="TF"/>
        <w:rPr>
          <w:lang w:eastAsia="zh-CN"/>
        </w:rPr>
      </w:pPr>
      <w:r w:rsidRPr="00CC4CDF">
        <w:t xml:space="preserve">Figure </w:t>
      </w:r>
      <w:r w:rsidRPr="00CC4CDF">
        <w:rPr>
          <w:lang w:eastAsia="zh-CN"/>
        </w:rPr>
        <w:t>P</w:t>
      </w:r>
      <w:r w:rsidRPr="00CC4CDF">
        <w:t xml:space="preserve">-1: NTN based </w:t>
      </w:r>
      <w:r w:rsidRPr="00CC4CDF">
        <w:rPr>
          <w:lang w:eastAsia="zh-CN"/>
        </w:rPr>
        <w:t>E-UTRAN</w:t>
      </w:r>
    </w:p>
    <w:p w14:paraId="05CBE2F9" w14:textId="77777777" w:rsidR="00626B88" w:rsidRPr="00CC4CDF" w:rsidRDefault="00626B88" w:rsidP="00626B88">
      <w:pPr>
        <w:rPr>
          <w:lang w:eastAsia="zh-CN"/>
        </w:rPr>
      </w:pPr>
      <w:r w:rsidRPr="00CC4CDF">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9CF2E6A" w14:textId="77777777" w:rsidR="00626B88" w:rsidRPr="00CC4CDF" w:rsidRDefault="00626B88" w:rsidP="00626B88">
      <w:pPr>
        <w:rPr>
          <w:lang w:eastAsia="zh-CN"/>
        </w:rPr>
      </w:pPr>
      <w:r w:rsidRPr="00CC4CDF">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1C348F0C" w14:textId="77777777" w:rsidR="00626B88" w:rsidRPr="00CC4CDF" w:rsidRDefault="00626B88" w:rsidP="00626B88">
      <w:pPr>
        <w:rPr>
          <w:lang w:eastAsia="zh-CN"/>
        </w:rPr>
      </w:pPr>
      <w:r w:rsidRPr="00CC4CDF">
        <w:rPr>
          <w:lang w:eastAsia="zh-CN"/>
        </w:rPr>
        <w:t>The NTN Service Link provisioning System maps the Uu radio protocol over radio resources of the NTN infrastructure (e.g. beams, channels, Tx power).</w:t>
      </w:r>
    </w:p>
    <w:p w14:paraId="276080A0" w14:textId="77777777" w:rsidR="00626B88" w:rsidRPr="00CC4CDF" w:rsidRDefault="00626B88" w:rsidP="00626B88">
      <w:r w:rsidRPr="00CC4CDF">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C33359E" w14:textId="77777777" w:rsidR="00626B88" w:rsidRPr="00CC4CDF" w:rsidRDefault="00626B88" w:rsidP="00626B88">
      <w:pPr>
        <w:rPr>
          <w:lang w:eastAsia="zh-CN"/>
        </w:rPr>
      </w:pPr>
      <w:r w:rsidRPr="00CC4CDF">
        <w:rPr>
          <w:lang w:eastAsia="zh-CN"/>
        </w:rPr>
        <w:t>Provision of NTN control data to the eNB is out of 3GPP scope.</w:t>
      </w:r>
    </w:p>
    <w:p w14:paraId="139CD0C8" w14:textId="77777777" w:rsidR="00626B88" w:rsidRPr="00CC4CDF" w:rsidRDefault="00626B88" w:rsidP="00626B88">
      <w:pPr>
        <w:pStyle w:val="NO"/>
        <w:rPr>
          <w:lang w:eastAsia="zh-CN"/>
        </w:rPr>
      </w:pPr>
      <w:r w:rsidRPr="00CC4CDF">
        <w:rPr>
          <w:lang w:eastAsia="zh-CN"/>
        </w:rPr>
        <w:t>NOTE:</w:t>
      </w:r>
      <w:r w:rsidRPr="00CC4CDF">
        <w:rPr>
          <w:lang w:eastAsia="zh-CN"/>
        </w:rPr>
        <w:tab/>
        <w:t>The transport of Uu protocol between the NTN Service Link provisioning system and the non-NTN infrastructure eNB functions is out of 3GPP scope.</w:t>
      </w:r>
    </w:p>
    <w:p w14:paraId="02024F18" w14:textId="77777777" w:rsidR="00626B88" w:rsidRPr="00CC4CDF" w:rsidRDefault="00626B88" w:rsidP="00626B88">
      <w:pPr>
        <w:rPr>
          <w:lang w:eastAsia="zh-CN"/>
        </w:rPr>
      </w:pPr>
      <w:r w:rsidRPr="00CC4CDF">
        <w:rPr>
          <w:lang w:eastAsia="zh-CN"/>
        </w:rPr>
        <w:t>At least the following NTN related parameters are expected to be provided by O&amp;M to the eNB for its operation.</w:t>
      </w:r>
    </w:p>
    <w:p w14:paraId="2DA0F54E" w14:textId="77777777" w:rsidR="00626B88" w:rsidRPr="00CC4CDF" w:rsidRDefault="00626B88" w:rsidP="00626B88">
      <w:pPr>
        <w:pStyle w:val="B1"/>
        <w:rPr>
          <w:lang w:eastAsia="zh-CN"/>
        </w:rPr>
      </w:pPr>
      <w:r w:rsidRPr="00CC4CDF">
        <w:rPr>
          <w:lang w:eastAsia="zh-CN"/>
        </w:rPr>
        <w:t>a) Earth fixed beams: for each beam provided by a given NTN-payload:</w:t>
      </w:r>
    </w:p>
    <w:p w14:paraId="12EF83EA" w14:textId="77777777" w:rsidR="00626B88" w:rsidRPr="00CC4CDF" w:rsidRDefault="00626B88" w:rsidP="00626B88">
      <w:pPr>
        <w:pStyle w:val="B2"/>
        <w:rPr>
          <w:lang w:eastAsia="zh-CN"/>
        </w:rPr>
      </w:pPr>
      <w:r w:rsidRPr="00CC4CDF">
        <w:rPr>
          <w:lang w:eastAsia="zh-CN"/>
        </w:rPr>
        <w:t>-</w:t>
      </w:r>
      <w:r w:rsidRPr="00CC4CDF">
        <w:rPr>
          <w:lang w:eastAsia="zh-CN"/>
        </w:rPr>
        <w:tab/>
        <w:t>The Cell identifier (S1 and Uu) mapped to the beam;</w:t>
      </w:r>
    </w:p>
    <w:p w14:paraId="09A45292" w14:textId="77777777" w:rsidR="00626B88" w:rsidRPr="00CC4CDF" w:rsidRDefault="00626B88" w:rsidP="00626B88">
      <w:pPr>
        <w:pStyle w:val="B2"/>
        <w:rPr>
          <w:lang w:eastAsia="zh-CN"/>
        </w:rPr>
      </w:pPr>
      <w:r w:rsidRPr="00CC4CDF">
        <w:rPr>
          <w:lang w:eastAsia="zh-CN"/>
        </w:rPr>
        <w:t>-</w:t>
      </w:r>
      <w:r w:rsidRPr="00CC4CDF">
        <w:rPr>
          <w:lang w:eastAsia="zh-CN"/>
        </w:rPr>
        <w:tab/>
        <w:t>The Cell's reference location (e.g. cell's center and range).</w:t>
      </w:r>
    </w:p>
    <w:p w14:paraId="0000651D" w14:textId="77777777" w:rsidR="00626B88" w:rsidRPr="00CC4CDF" w:rsidRDefault="00626B88" w:rsidP="00626B88">
      <w:pPr>
        <w:pStyle w:val="B1"/>
        <w:rPr>
          <w:lang w:eastAsia="zh-CN"/>
        </w:rPr>
      </w:pPr>
      <w:r w:rsidRPr="00CC4CDF">
        <w:rPr>
          <w:lang w:eastAsia="zh-CN"/>
        </w:rPr>
        <w:t xml:space="preserve">b) Quasi Earth fixed beams: for each beam provided by a </w:t>
      </w:r>
      <w:r w:rsidRPr="00CC4CDF">
        <w:t>given</w:t>
      </w:r>
      <w:r w:rsidRPr="00CC4CDF">
        <w:rPr>
          <w:lang w:eastAsia="zh-CN"/>
        </w:rPr>
        <w:t xml:space="preserve"> NTN-payload:</w:t>
      </w:r>
    </w:p>
    <w:p w14:paraId="2A33B43F" w14:textId="77777777" w:rsidR="00626B88" w:rsidRPr="00CC4CDF" w:rsidRDefault="00626B88" w:rsidP="00626B88">
      <w:pPr>
        <w:pStyle w:val="B2"/>
        <w:ind w:left="852"/>
      </w:pPr>
      <w:r w:rsidRPr="00CC4CDF">
        <w:t>-</w:t>
      </w:r>
      <w:r w:rsidRPr="00CC4CDF">
        <w:tab/>
        <w:t>The Cell identifier (</w:t>
      </w:r>
      <w:r w:rsidRPr="00CC4CDF">
        <w:rPr>
          <w:lang w:eastAsia="zh-CN"/>
        </w:rPr>
        <w:t>S1</w:t>
      </w:r>
      <w:r w:rsidRPr="00CC4CDF">
        <w:t xml:space="preserve"> and Uu) and time window mapped to a beam;</w:t>
      </w:r>
    </w:p>
    <w:p w14:paraId="1C969CE6" w14:textId="77777777" w:rsidR="00626B88" w:rsidRPr="00CC4CDF" w:rsidRDefault="00626B88" w:rsidP="00626B88">
      <w:pPr>
        <w:pStyle w:val="B2"/>
        <w:ind w:left="852"/>
      </w:pPr>
      <w:r w:rsidRPr="00CC4CDF">
        <w:t>-</w:t>
      </w:r>
      <w:r w:rsidRPr="00CC4CDF">
        <w:tab/>
        <w:t>The Cell's/beam's reference location (e.g. cell's center and range);</w:t>
      </w:r>
    </w:p>
    <w:p w14:paraId="590DD3CF" w14:textId="77777777" w:rsidR="00626B88" w:rsidRPr="00CC4CDF" w:rsidRDefault="00626B88" w:rsidP="00626B88">
      <w:pPr>
        <w:pStyle w:val="B2"/>
        <w:rPr>
          <w:lang w:eastAsia="zh-CN"/>
        </w:rPr>
      </w:pPr>
      <w:r w:rsidRPr="00CC4CDF">
        <w:rPr>
          <w:lang w:eastAsia="zh-CN"/>
        </w:rPr>
        <w:t>-</w:t>
      </w:r>
      <w:r w:rsidRPr="00CC4CDF">
        <w:rPr>
          <w:lang w:eastAsia="zh-CN"/>
        </w:rPr>
        <w:tab/>
        <w:t>The time window of the successive switchovers (feeder link, service link);</w:t>
      </w:r>
    </w:p>
    <w:p w14:paraId="02838525" w14:textId="77777777" w:rsidR="00626B88" w:rsidRPr="00CC4CDF" w:rsidRDefault="00626B88" w:rsidP="00626B88">
      <w:pPr>
        <w:pStyle w:val="B2"/>
        <w:rPr>
          <w:lang w:eastAsia="zh-CN"/>
        </w:rPr>
      </w:pPr>
      <w:r w:rsidRPr="00CC4CDF">
        <w:rPr>
          <w:lang w:eastAsia="zh-CN"/>
        </w:rPr>
        <w:t>-</w:t>
      </w:r>
      <w:r w:rsidRPr="00CC4CDF">
        <w:rPr>
          <w:lang w:eastAsia="zh-CN"/>
        </w:rPr>
        <w:tab/>
        <w:t>The identifier and time window of all serving NTN payloads and NTN-Gateways.</w:t>
      </w:r>
    </w:p>
    <w:p w14:paraId="0A9780DC" w14:textId="77777777" w:rsidR="00626B88" w:rsidRPr="00CC4CDF" w:rsidRDefault="00626B88" w:rsidP="00626B88">
      <w:pPr>
        <w:pStyle w:val="B1"/>
        <w:rPr>
          <w:lang w:eastAsia="zh-CN"/>
        </w:rPr>
      </w:pPr>
      <w:r w:rsidRPr="00CC4CDF">
        <w:rPr>
          <w:lang w:eastAsia="zh-CN"/>
        </w:rPr>
        <w:t>c) Earth moving beams: for each beam provided by a given NTN-payload:</w:t>
      </w:r>
    </w:p>
    <w:p w14:paraId="71373609" w14:textId="77777777" w:rsidR="00626B88" w:rsidRPr="00CC4CDF" w:rsidRDefault="00626B88" w:rsidP="00626B88">
      <w:pPr>
        <w:pStyle w:val="B2"/>
        <w:ind w:left="852"/>
      </w:pPr>
      <w:r w:rsidRPr="00CC4CDF">
        <w:rPr>
          <w:lang w:eastAsia="zh-CN"/>
        </w:rPr>
        <w:t>-</w:t>
      </w:r>
      <w:r w:rsidRPr="00CC4CDF">
        <w:rPr>
          <w:lang w:eastAsia="zh-CN"/>
        </w:rPr>
        <w:tab/>
      </w:r>
      <w:r w:rsidRPr="00CC4CDF">
        <w:t>The Uu Cell identifier mapped to a beam and mapping information to fixed geographical areas reported on NG, including information about the beams direction and motion of the beam's foot print on Earth;</w:t>
      </w:r>
    </w:p>
    <w:p w14:paraId="6E20FE5A" w14:textId="77777777" w:rsidR="00626B88" w:rsidRPr="00CC4CDF" w:rsidRDefault="00626B88" w:rsidP="00626B88">
      <w:pPr>
        <w:pStyle w:val="B2"/>
        <w:rPr>
          <w:lang w:eastAsia="zh-CN"/>
        </w:rPr>
      </w:pPr>
      <w:r w:rsidRPr="00CC4CDF">
        <w:rPr>
          <w:lang w:eastAsia="zh-CN"/>
        </w:rPr>
        <w:t>-</w:t>
      </w:r>
      <w:r w:rsidRPr="00CC4CDF">
        <w:rPr>
          <w:lang w:eastAsia="zh-CN"/>
        </w:rPr>
        <w:tab/>
        <w:t>Its elevation with regard to NTN-payload;</w:t>
      </w:r>
    </w:p>
    <w:p w14:paraId="02CAC6CC" w14:textId="77777777" w:rsidR="00626B88" w:rsidRPr="00CC4CDF" w:rsidRDefault="00626B88" w:rsidP="00626B88">
      <w:pPr>
        <w:pStyle w:val="B2"/>
        <w:rPr>
          <w:lang w:eastAsia="zh-CN"/>
        </w:rPr>
      </w:pPr>
      <w:r w:rsidRPr="00CC4CDF">
        <w:rPr>
          <w:lang w:eastAsia="zh-CN"/>
        </w:rPr>
        <w:t>-</w:t>
      </w:r>
      <w:r w:rsidRPr="00CC4CDF">
        <w:rPr>
          <w:lang w:eastAsia="zh-CN"/>
        </w:rPr>
        <w:tab/>
        <w:t>Schedule of successive serving NTN-Gateways/eNBs;</w:t>
      </w:r>
    </w:p>
    <w:p w14:paraId="38393C94" w14:textId="77777777" w:rsidR="00626B88" w:rsidRPr="00CC4CDF" w:rsidRDefault="00626B88" w:rsidP="00626B88">
      <w:pPr>
        <w:pStyle w:val="B2"/>
        <w:ind w:leftChars="283" w:left="850"/>
        <w:rPr>
          <w:lang w:eastAsia="zh-CN"/>
        </w:rPr>
      </w:pPr>
      <w:r w:rsidRPr="00CC4CDF">
        <w:rPr>
          <w:lang w:eastAsia="zh-CN"/>
        </w:rPr>
        <w:t>-</w:t>
      </w:r>
      <w:r w:rsidRPr="00CC4CDF">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138"/>
      <w:commentRangeStart w:id="139"/>
      <w:commentRangeStart w:id="140"/>
      <w:r>
        <w:t>Disabling DL HARQ feedback is supported for NB-IoT and eMTC NTN. FFS on UE capability</w:t>
      </w:r>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138"/>
      <w:r w:rsidR="00872F45">
        <w:rPr>
          <w:rStyle w:val="CommentReference"/>
          <w:rFonts w:ascii="Times New Roman" w:eastAsia="Times New Roman" w:hAnsi="Times New Roman"/>
          <w:szCs w:val="20"/>
          <w:lang w:eastAsia="en-US"/>
        </w:rPr>
        <w:commentReference w:id="138"/>
      </w:r>
      <w:commentRangeEnd w:id="139"/>
      <w:r w:rsidR="00DB56BC">
        <w:rPr>
          <w:rStyle w:val="CommentReference"/>
          <w:rFonts w:ascii="Times New Roman" w:eastAsia="Times New Roman" w:hAnsi="Times New Roman"/>
          <w:szCs w:val="20"/>
          <w:lang w:eastAsia="en-US"/>
        </w:rPr>
        <w:commentReference w:id="139"/>
      </w:r>
      <w:commentRangeEnd w:id="140"/>
      <w:r w:rsidR="00216C1D">
        <w:rPr>
          <w:rStyle w:val="CommentReference"/>
          <w:rFonts w:ascii="Times New Roman" w:eastAsiaTheme="minorEastAsia" w:hAnsi="Times New Roman"/>
          <w:szCs w:val="20"/>
          <w:lang w:eastAsia="en-US"/>
        </w:rPr>
        <w:commentReference w:id="140"/>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141"/>
      <w:r w:rsidRPr="00C045DA">
        <w:t>location based CHO triggering</w:t>
      </w:r>
      <w:commentRangeEnd w:id="141"/>
      <w:r w:rsidR="00872F45">
        <w:rPr>
          <w:rStyle w:val="CommentReference"/>
          <w:rFonts w:ascii="Times New Roman" w:eastAsia="Times New Roman" w:hAnsi="Times New Roman"/>
          <w:szCs w:val="20"/>
          <w:lang w:eastAsia="en-US"/>
        </w:rPr>
        <w:commentReference w:id="141"/>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For NB-IoT NTN with single HARQ process when the HARQ feedback is disabled, the UE will start/restart drx-inactivity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142"/>
      <w:r w:rsidRPr="00DD777A">
        <w:rPr>
          <w:lang w:eastAsia="zh-CN"/>
        </w:rPr>
        <w:t xml:space="preserve">time trigger </w:t>
      </w:r>
      <w:commentRangeEnd w:id="142"/>
      <w:r w:rsidR="004976FB">
        <w:rPr>
          <w:rStyle w:val="CommentReference"/>
          <w:rFonts w:ascii="Times New Roman" w:eastAsia="Times New Roman" w:hAnsi="Times New Roman"/>
          <w:szCs w:val="20"/>
          <w:lang w:eastAsia="en-US"/>
        </w:rPr>
        <w:commentReference w:id="142"/>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143"/>
      <w:r>
        <w:t xml:space="preserve">location-based conditional </w:t>
      </w:r>
      <w:commentRangeEnd w:id="143"/>
      <w:r w:rsidR="004976FB">
        <w:rPr>
          <w:rStyle w:val="CommentReference"/>
          <w:rFonts w:ascii="Times New Roman" w:eastAsia="Times New Roman" w:hAnsi="Times New Roman"/>
          <w:szCs w:val="20"/>
          <w:lang w:eastAsia="en-US"/>
        </w:rPr>
        <w:commentReference w:id="143"/>
      </w:r>
      <w:r>
        <w:t>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(similar to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144"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30"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UL transmission using SPS can be configured with HARQ mode B</w:t>
      </w:r>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1"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144"/>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New SIBxx is introduced to broadcast the neigh</w:t>
      </w:r>
      <w:r>
        <w:t>bor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Common TA parameters are broadcast as assistance information for neighbor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Kmac is broadcast as neighbor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distanceThresh</w:t>
      </w:r>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(e.g.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(e.g. timer based or upon detection of coverage gap)</w:t>
      </w:r>
    </w:p>
    <w:p w14:paraId="7C4E7F3D" w14:textId="6A743BAC" w:rsidR="00DB56BC" w:rsidRDefault="00DB56BC">
      <w:pPr>
        <w:spacing w:after="0"/>
        <w:rPr>
          <w:noProof/>
        </w:rPr>
      </w:pPr>
    </w:p>
    <w:p w14:paraId="1CC32092" w14:textId="44EA985B" w:rsidR="008E11E3" w:rsidRDefault="008E11E3" w:rsidP="008E11E3">
      <w:pPr>
        <w:pStyle w:val="Heading2"/>
        <w:rPr>
          <w:noProof/>
        </w:rPr>
      </w:pPr>
      <w:r>
        <w:rPr>
          <w:noProof/>
        </w:rPr>
        <w:t>RAN2#122</w:t>
      </w:r>
    </w:p>
    <w:p w14:paraId="082220B6" w14:textId="0CFA06C4" w:rsidR="00DB56BC" w:rsidRDefault="00DB56BC">
      <w:pPr>
        <w:spacing w:after="0"/>
        <w:rPr>
          <w:noProof/>
        </w:rPr>
      </w:pPr>
    </w:p>
    <w:p w14:paraId="78178D8B"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3A9E14E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5D94515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1E020AC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4F64D57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6A5D9675"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GNSS fix time duration should be reported in 1) and 2):</w:t>
      </w:r>
    </w:p>
    <w:p w14:paraId="2362061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1) RRCConnectionReestablishmentComplete and RRCConnectionReestablishmentComplete-NB </w:t>
      </w:r>
    </w:p>
    <w:p w14:paraId="029120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2) RRCConnectionReconfigurationComplete for HO case </w:t>
      </w:r>
    </w:p>
    <w:p w14:paraId="149722DD"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(FFS whether there are some scenarios where this is not needed or whether there has to be some explicit NW indication to do so)</w:t>
      </w:r>
    </w:p>
    <w:p w14:paraId="05214385"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Working Assumptions:</w:t>
      </w:r>
    </w:p>
    <w:p w14:paraId="6827F784"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604F779D" w14:textId="77777777" w:rsidR="008E11E3" w:rsidRPr="009C5DA1" w:rsidRDefault="008E11E3" w:rsidP="008E11E3">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6EE23BA8" w14:textId="03E08CD8" w:rsidR="008E11E3" w:rsidRDefault="008E11E3">
      <w:pPr>
        <w:spacing w:after="0"/>
        <w:rPr>
          <w:noProof/>
        </w:rPr>
      </w:pPr>
    </w:p>
    <w:p w14:paraId="5887DA03" w14:textId="77777777" w:rsidR="008E11E3" w:rsidRDefault="008E11E3">
      <w:pPr>
        <w:spacing w:after="0"/>
        <w:rPr>
          <w:noProof/>
        </w:rPr>
      </w:pPr>
    </w:p>
    <w:p w14:paraId="40857D6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5C2976B8"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3DBC4C8E"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system Information modification procedure is not triggered for an update of new SIB on neighbor-cell assistance information.</w:t>
      </w:r>
    </w:p>
    <w:p w14:paraId="7BD1CA02"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For NB-IoT, </w:t>
      </w:r>
      <w:r w:rsidRPr="00264498">
        <w:t>SIBxx is not an essential SIB. UE does not need to consider the cell barred if it is unable to acquire the SIB when scheduled.</w:t>
      </w:r>
      <w:r>
        <w:t xml:space="preserve"> FFS for eMTC</w:t>
      </w:r>
    </w:p>
    <w:p w14:paraId="3A3FBA8B"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39E43E3D"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0434788A"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6C00F975"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C6EE799"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Kmac is absent, then the value of Kmac for the neighbor satellite in the list is assumed zero. FFS on further optimization on signaling, e.g., signalling explicit value 0 of Kmac.</w:t>
      </w:r>
    </w:p>
    <w:p w14:paraId="5B9FD2AD" w14:textId="12CFC0C0" w:rsidR="00DB56BC" w:rsidRDefault="00DB56BC">
      <w:pPr>
        <w:spacing w:after="0"/>
        <w:rPr>
          <w:noProof/>
        </w:rPr>
      </w:pPr>
    </w:p>
    <w:p w14:paraId="4722448A" w14:textId="77777777" w:rsidR="008E11E3" w:rsidRDefault="008E11E3">
      <w:pPr>
        <w:spacing w:after="0"/>
        <w:rPr>
          <w:noProof/>
        </w:rPr>
      </w:pPr>
    </w:p>
    <w:p w14:paraId="4BE49B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1C2D06FD" w14:textId="77777777" w:rsidR="008E11E3" w:rsidRDefault="008E11E3" w:rsidP="008E11E3">
      <w:pPr>
        <w:pStyle w:val="Doc-text2"/>
        <w:numPr>
          <w:ilvl w:val="0"/>
          <w:numId w:val="28"/>
        </w:numPr>
        <w:pBdr>
          <w:top w:val="single" w:sz="4" w:space="1" w:color="auto"/>
          <w:left w:val="single" w:sz="4" w:space="4" w:color="auto"/>
          <w:bottom w:val="single" w:sz="4" w:space="1" w:color="auto"/>
          <w:right w:val="single" w:sz="4" w:space="4" w:color="auto"/>
        </w:pBdr>
      </w:pPr>
      <w:r>
        <w:t xml:space="preserve">Reference location and distanceThresh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3B285621" w14:textId="77777777" w:rsidR="008E11E3" w:rsidRDefault="008E11E3" w:rsidP="008E11E3">
      <w:pPr>
        <w:spacing w:after="0"/>
        <w:rPr>
          <w:noProof/>
        </w:rPr>
      </w:pPr>
    </w:p>
    <w:p w14:paraId="4D5CEF71"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015AA6D5"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For earth-fixed cells, introduce t-ServiceStart for neighbor cells. If UE is aware of the t-ServiceStart of the neighbour cell then may be used (up to UE implementation) to determine when to start measurements of that neighbor cell</w:t>
      </w:r>
    </w:p>
    <w:p w14:paraId="0DBEF89F"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7254AAED"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352E3029"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157D0689" w14:textId="69EA43E4" w:rsidR="008E11E3" w:rsidRDefault="008E11E3" w:rsidP="008E11E3">
      <w:pPr>
        <w:spacing w:after="0"/>
        <w:rPr>
          <w:noProof/>
        </w:rPr>
      </w:pPr>
    </w:p>
    <w:p w14:paraId="5B3B7C69" w14:textId="77777777" w:rsidR="008E11E3" w:rsidRDefault="008E11E3" w:rsidP="008E11E3">
      <w:pPr>
        <w:spacing w:after="0"/>
        <w:rPr>
          <w:noProof/>
        </w:rPr>
      </w:pPr>
    </w:p>
    <w:p w14:paraId="78706160" w14:textId="77777777" w:rsidR="008E11E3" w:rsidRDefault="008E11E3" w:rsidP="008E11E3">
      <w:pPr>
        <w:spacing w:after="0"/>
        <w:rPr>
          <w:noProof/>
        </w:rPr>
      </w:pPr>
    </w:p>
    <w:p w14:paraId="0A549524" w14:textId="77777777" w:rsidR="008E11E3" w:rsidRDefault="008E11E3" w:rsidP="008E11E3">
      <w:pPr>
        <w:spacing w:after="0"/>
        <w:rPr>
          <w:noProof/>
        </w:rPr>
      </w:pPr>
    </w:p>
    <w:sectPr w:rsidR="008E11E3"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8" w:author="After RAN2#121 (Ericsson)" w:date="2023-04-04T16:23:00Z" w:initials="A">
    <w:p w14:paraId="32D1CDBC" w14:textId="2955C7E4" w:rsidR="00973D7E" w:rsidRDefault="00973D7E">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the stage 3 specs). </w:t>
      </w:r>
    </w:p>
  </w:comment>
  <w:comment w:id="139" w:author="After RAN2#121bis (Ericsson)" w:date="2023-05-09T23:23:00Z" w:initials="A">
    <w:p w14:paraId="4489E176" w14:textId="69309016" w:rsidR="00973D7E" w:rsidRDefault="00973D7E">
      <w:pPr>
        <w:pStyle w:val="CommentText"/>
      </w:pPr>
      <w:r>
        <w:rPr>
          <w:rStyle w:val="CommentReference"/>
        </w:rPr>
        <w:annotationRef/>
      </w:r>
      <w:r>
        <w:t xml:space="preserve">A correction to R17 NR NTN adding this in stage 2 is being discussed – if introduced, we expect to add a similar text in LTE spec. </w:t>
      </w:r>
    </w:p>
  </w:comment>
  <w:comment w:id="140" w:author="Ericsson (Robert)" w:date="2023-08-07T16:43:00Z" w:initials="E">
    <w:p w14:paraId="77D5F0E8" w14:textId="77777777" w:rsidR="00216C1D" w:rsidRDefault="00216C1D" w:rsidP="00BE1FB5">
      <w:pPr>
        <w:pStyle w:val="CommentText"/>
      </w:pPr>
      <w:r>
        <w:rPr>
          <w:rStyle w:val="CommentReference"/>
        </w:rPr>
        <w:annotationRef/>
      </w:r>
      <w:r>
        <w:t>After RAN2#122, this was added in 23.21.1</w:t>
      </w:r>
    </w:p>
  </w:comment>
  <w:comment w:id="141" w:author="After RAN2#121 (Ericsson)" w:date="2023-04-04T16:24:00Z" w:initials="A">
    <w:p w14:paraId="7AC7A26D" w14:textId="0E5885F5" w:rsidR="00973D7E" w:rsidRDefault="00973D7E">
      <w:pPr>
        <w:pStyle w:val="CommentText"/>
      </w:pPr>
      <w:r>
        <w:rPr>
          <w:rStyle w:val="CommentReference"/>
        </w:rPr>
        <w:annotationRef/>
      </w:r>
      <w:r>
        <w:rPr>
          <w:rStyle w:val="CommentReference"/>
        </w:rPr>
        <w:annotationRef/>
      </w:r>
      <w:r>
        <w:t xml:space="preserve">Added in 23.21.4.2. </w:t>
      </w:r>
    </w:p>
  </w:comment>
  <w:comment w:id="142" w:author="After RAN2#121 (Ericsson)" w:date="2023-04-04T19:14:00Z" w:initials="A">
    <w:p w14:paraId="593DCF45" w14:textId="4221E41B" w:rsidR="00973D7E" w:rsidRDefault="00973D7E">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143" w:author="After RAN2#121 (Ericsson)" w:date="2023-04-04T19:14:00Z" w:initials="A">
    <w:p w14:paraId="682790B6" w14:textId="5069F9A0" w:rsidR="00973D7E" w:rsidRDefault="00973D7E">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1CDBC" w15:done="0"/>
  <w15:commentEx w15:paraId="4489E176" w15:paraIdParent="32D1CDBC" w15:done="0"/>
  <w15:commentEx w15:paraId="77D5F0E8"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D8E" w16cex:dateUtc="2023-04-04T14:23:00Z"/>
  <w16cex:commentExtensible w16cex:durableId="28055468" w16cex:dateUtc="2023-05-09T21:23:00Z"/>
  <w16cex:commentExtensible w16cex:durableId="287B9D95" w16cex:dateUtc="2023-08-07T14:4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1CDBC" w16cid:durableId="27D6CD8E"/>
  <w16cid:commentId w16cid:paraId="4489E176" w16cid:durableId="28055468"/>
  <w16cid:commentId w16cid:paraId="77D5F0E8" w16cid:durableId="287B9D95"/>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0C4A4" w14:textId="77777777" w:rsidR="00891F2C" w:rsidRDefault="00891F2C">
      <w:r>
        <w:separator/>
      </w:r>
    </w:p>
  </w:endnote>
  <w:endnote w:type="continuationSeparator" w:id="0">
    <w:p w14:paraId="279FBD0D" w14:textId="77777777" w:rsidR="00891F2C" w:rsidRDefault="00891F2C">
      <w:r>
        <w:continuationSeparator/>
      </w:r>
    </w:p>
  </w:endnote>
  <w:endnote w:type="continuationNotice" w:id="1">
    <w:p w14:paraId="2ACE1FE4" w14:textId="77777777" w:rsidR="00891F2C" w:rsidRDefault="00891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673A1" w14:textId="77777777" w:rsidR="00891F2C" w:rsidRDefault="00891F2C">
      <w:r>
        <w:separator/>
      </w:r>
    </w:p>
  </w:footnote>
  <w:footnote w:type="continuationSeparator" w:id="0">
    <w:p w14:paraId="663E1883" w14:textId="77777777" w:rsidR="00891F2C" w:rsidRDefault="00891F2C">
      <w:r>
        <w:continuationSeparator/>
      </w:r>
    </w:p>
  </w:footnote>
  <w:footnote w:type="continuationNotice" w:id="1">
    <w:p w14:paraId="5467724A" w14:textId="77777777" w:rsidR="00891F2C" w:rsidRDefault="00891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3D7E" w:rsidRDefault="00973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3D7E" w:rsidRDefault="009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3D7E" w:rsidRDefault="00973D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3D7E" w:rsidRDefault="009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54868122">
    <w:abstractNumId w:val="15"/>
  </w:num>
  <w:num w:numId="2" w16cid:durableId="2102795667">
    <w:abstractNumId w:val="5"/>
  </w:num>
  <w:num w:numId="3" w16cid:durableId="1653682135">
    <w:abstractNumId w:val="25"/>
  </w:num>
  <w:num w:numId="4" w16cid:durableId="764229240">
    <w:abstractNumId w:val="17"/>
  </w:num>
  <w:num w:numId="5" w16cid:durableId="1358040231">
    <w:abstractNumId w:val="28"/>
  </w:num>
  <w:num w:numId="6" w16cid:durableId="1220215425">
    <w:abstractNumId w:val="10"/>
  </w:num>
  <w:num w:numId="7" w16cid:durableId="1716654830">
    <w:abstractNumId w:val="19"/>
  </w:num>
  <w:num w:numId="8" w16cid:durableId="718868368">
    <w:abstractNumId w:val="24"/>
  </w:num>
  <w:num w:numId="9" w16cid:durableId="1199506704">
    <w:abstractNumId w:val="2"/>
  </w:num>
  <w:num w:numId="10" w16cid:durableId="2035958903">
    <w:abstractNumId w:val="1"/>
  </w:num>
  <w:num w:numId="11" w16cid:durableId="137696333">
    <w:abstractNumId w:val="18"/>
  </w:num>
  <w:num w:numId="12" w16cid:durableId="129595064">
    <w:abstractNumId w:val="6"/>
  </w:num>
  <w:num w:numId="13" w16cid:durableId="817381788">
    <w:abstractNumId w:val="22"/>
  </w:num>
  <w:num w:numId="14" w16cid:durableId="2127001564">
    <w:abstractNumId w:val="0"/>
  </w:num>
  <w:num w:numId="15" w16cid:durableId="1795634344">
    <w:abstractNumId w:val="21"/>
  </w:num>
  <w:num w:numId="16" w16cid:durableId="226494789">
    <w:abstractNumId w:val="16"/>
  </w:num>
  <w:num w:numId="17" w16cid:durableId="1293247730">
    <w:abstractNumId w:val="23"/>
  </w:num>
  <w:num w:numId="18" w16cid:durableId="481391680">
    <w:abstractNumId w:val="8"/>
  </w:num>
  <w:num w:numId="19" w16cid:durableId="1337805086">
    <w:abstractNumId w:val="26"/>
  </w:num>
  <w:num w:numId="20" w16cid:durableId="1632251447">
    <w:abstractNumId w:val="13"/>
  </w:num>
  <w:num w:numId="21" w16cid:durableId="820730840">
    <w:abstractNumId w:val="4"/>
  </w:num>
  <w:num w:numId="22" w16cid:durableId="1706100593">
    <w:abstractNumId w:val="11"/>
  </w:num>
  <w:num w:numId="23" w16cid:durableId="776025884">
    <w:abstractNumId w:val="20"/>
  </w:num>
  <w:num w:numId="24" w16cid:durableId="925766453">
    <w:abstractNumId w:val="3"/>
  </w:num>
  <w:num w:numId="25" w16cid:durableId="325205543">
    <w:abstractNumId w:val="14"/>
  </w:num>
  <w:num w:numId="26" w16cid:durableId="2065523239">
    <w:abstractNumId w:val="12"/>
  </w:num>
  <w:num w:numId="27" w16cid:durableId="262760459">
    <w:abstractNumId w:val="9"/>
  </w:num>
  <w:num w:numId="28" w16cid:durableId="2123189747">
    <w:abstractNumId w:val="7"/>
  </w:num>
  <w:num w:numId="29" w16cid:durableId="990912164">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 RAN2#122">
    <w15:presenceInfo w15:providerId="None" w15:userId="After RAN2#122"/>
  </w15:person>
  <w15:person w15:author="After RAN2#121 (Ericsson)">
    <w15:presenceInfo w15:providerId="None" w15:userId="After RAN2#121 (Ericsson)"/>
  </w15:person>
  <w15:person w15:author="After RAN2#121bis (Ericsson)">
    <w15:presenceInfo w15:providerId="None" w15:userId="After RAN2#121bis (Ericsson)"/>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22E4A"/>
    <w:rsid w:val="000259F7"/>
    <w:rsid w:val="00027F38"/>
    <w:rsid w:val="00057443"/>
    <w:rsid w:val="00067D6D"/>
    <w:rsid w:val="00076767"/>
    <w:rsid w:val="000776B4"/>
    <w:rsid w:val="000A6394"/>
    <w:rsid w:val="000B3C2F"/>
    <w:rsid w:val="000B7FED"/>
    <w:rsid w:val="000C038A"/>
    <w:rsid w:val="000C2C81"/>
    <w:rsid w:val="000C6598"/>
    <w:rsid w:val="000D44B3"/>
    <w:rsid w:val="000D7D42"/>
    <w:rsid w:val="000E002B"/>
    <w:rsid w:val="000E28A6"/>
    <w:rsid w:val="000F42EC"/>
    <w:rsid w:val="000F4EFE"/>
    <w:rsid w:val="000F574D"/>
    <w:rsid w:val="000F7F3B"/>
    <w:rsid w:val="00107201"/>
    <w:rsid w:val="0011218E"/>
    <w:rsid w:val="00130928"/>
    <w:rsid w:val="0013212A"/>
    <w:rsid w:val="00145D43"/>
    <w:rsid w:val="00146C5A"/>
    <w:rsid w:val="0016493E"/>
    <w:rsid w:val="001730FE"/>
    <w:rsid w:val="001805DC"/>
    <w:rsid w:val="00186495"/>
    <w:rsid w:val="00192C46"/>
    <w:rsid w:val="001A08B3"/>
    <w:rsid w:val="001A23E6"/>
    <w:rsid w:val="001A4547"/>
    <w:rsid w:val="001A5CB0"/>
    <w:rsid w:val="001A7B60"/>
    <w:rsid w:val="001B0380"/>
    <w:rsid w:val="001B0481"/>
    <w:rsid w:val="001B52F0"/>
    <w:rsid w:val="001B6D34"/>
    <w:rsid w:val="001B7A65"/>
    <w:rsid w:val="001D1969"/>
    <w:rsid w:val="001E0E9D"/>
    <w:rsid w:val="001E41F3"/>
    <w:rsid w:val="001E58A2"/>
    <w:rsid w:val="00213F7E"/>
    <w:rsid w:val="00216C1D"/>
    <w:rsid w:val="00231703"/>
    <w:rsid w:val="002443C0"/>
    <w:rsid w:val="00251967"/>
    <w:rsid w:val="0026004D"/>
    <w:rsid w:val="00263C07"/>
    <w:rsid w:val="00263EA2"/>
    <w:rsid w:val="002640DD"/>
    <w:rsid w:val="0027491C"/>
    <w:rsid w:val="00275D12"/>
    <w:rsid w:val="0027758D"/>
    <w:rsid w:val="0028295D"/>
    <w:rsid w:val="00284FEB"/>
    <w:rsid w:val="002860C4"/>
    <w:rsid w:val="00290F7C"/>
    <w:rsid w:val="002A6122"/>
    <w:rsid w:val="002B0B11"/>
    <w:rsid w:val="002B3729"/>
    <w:rsid w:val="002B4F44"/>
    <w:rsid w:val="002B5741"/>
    <w:rsid w:val="002C0A60"/>
    <w:rsid w:val="002D28C0"/>
    <w:rsid w:val="002E472E"/>
    <w:rsid w:val="002E5EBF"/>
    <w:rsid w:val="002E6659"/>
    <w:rsid w:val="002E789D"/>
    <w:rsid w:val="002F2D32"/>
    <w:rsid w:val="002F7424"/>
    <w:rsid w:val="00305409"/>
    <w:rsid w:val="0031212E"/>
    <w:rsid w:val="0032033A"/>
    <w:rsid w:val="00321255"/>
    <w:rsid w:val="00340D70"/>
    <w:rsid w:val="00347AA3"/>
    <w:rsid w:val="0035025C"/>
    <w:rsid w:val="00356330"/>
    <w:rsid w:val="003609EF"/>
    <w:rsid w:val="0036231A"/>
    <w:rsid w:val="00365FFF"/>
    <w:rsid w:val="0037000F"/>
    <w:rsid w:val="003704ED"/>
    <w:rsid w:val="00374DD4"/>
    <w:rsid w:val="00382089"/>
    <w:rsid w:val="00383508"/>
    <w:rsid w:val="0039149E"/>
    <w:rsid w:val="00392E03"/>
    <w:rsid w:val="003B651A"/>
    <w:rsid w:val="003C2754"/>
    <w:rsid w:val="003E1A36"/>
    <w:rsid w:val="003F1A4D"/>
    <w:rsid w:val="00410371"/>
    <w:rsid w:val="00423718"/>
    <w:rsid w:val="00423858"/>
    <w:rsid w:val="004242F1"/>
    <w:rsid w:val="00425094"/>
    <w:rsid w:val="00426535"/>
    <w:rsid w:val="0043281A"/>
    <w:rsid w:val="00435374"/>
    <w:rsid w:val="00440012"/>
    <w:rsid w:val="004463ED"/>
    <w:rsid w:val="004546B8"/>
    <w:rsid w:val="004729DA"/>
    <w:rsid w:val="004775D5"/>
    <w:rsid w:val="00487283"/>
    <w:rsid w:val="004919C1"/>
    <w:rsid w:val="004976FB"/>
    <w:rsid w:val="004A36FE"/>
    <w:rsid w:val="004B115C"/>
    <w:rsid w:val="004B2305"/>
    <w:rsid w:val="004B75B7"/>
    <w:rsid w:val="004C50AC"/>
    <w:rsid w:val="004D3F68"/>
    <w:rsid w:val="004F083B"/>
    <w:rsid w:val="004F7E6C"/>
    <w:rsid w:val="005065E8"/>
    <w:rsid w:val="005141D9"/>
    <w:rsid w:val="0051580D"/>
    <w:rsid w:val="00517432"/>
    <w:rsid w:val="00531234"/>
    <w:rsid w:val="00547111"/>
    <w:rsid w:val="0058649C"/>
    <w:rsid w:val="00592D74"/>
    <w:rsid w:val="005B0348"/>
    <w:rsid w:val="005C6AEE"/>
    <w:rsid w:val="005D342C"/>
    <w:rsid w:val="005E2C44"/>
    <w:rsid w:val="005F3F18"/>
    <w:rsid w:val="006017F5"/>
    <w:rsid w:val="006070F3"/>
    <w:rsid w:val="00616FB7"/>
    <w:rsid w:val="00621188"/>
    <w:rsid w:val="0062184F"/>
    <w:rsid w:val="00624394"/>
    <w:rsid w:val="006257ED"/>
    <w:rsid w:val="00626B88"/>
    <w:rsid w:val="00627158"/>
    <w:rsid w:val="00627C2B"/>
    <w:rsid w:val="0063086E"/>
    <w:rsid w:val="00635303"/>
    <w:rsid w:val="0065214B"/>
    <w:rsid w:val="00653DE4"/>
    <w:rsid w:val="00665C47"/>
    <w:rsid w:val="0067638A"/>
    <w:rsid w:val="006826E6"/>
    <w:rsid w:val="0068569E"/>
    <w:rsid w:val="006860C1"/>
    <w:rsid w:val="0069275F"/>
    <w:rsid w:val="00695106"/>
    <w:rsid w:val="00695808"/>
    <w:rsid w:val="006B30BB"/>
    <w:rsid w:val="006B40CB"/>
    <w:rsid w:val="006B46FB"/>
    <w:rsid w:val="006B57E3"/>
    <w:rsid w:val="006C6809"/>
    <w:rsid w:val="006E1306"/>
    <w:rsid w:val="006E21FB"/>
    <w:rsid w:val="006E5CAF"/>
    <w:rsid w:val="007026AA"/>
    <w:rsid w:val="00721EC4"/>
    <w:rsid w:val="0073049F"/>
    <w:rsid w:val="00730E03"/>
    <w:rsid w:val="00730E46"/>
    <w:rsid w:val="007324AE"/>
    <w:rsid w:val="00735C15"/>
    <w:rsid w:val="007800C5"/>
    <w:rsid w:val="00792342"/>
    <w:rsid w:val="007977A8"/>
    <w:rsid w:val="007A05A6"/>
    <w:rsid w:val="007A14D0"/>
    <w:rsid w:val="007A302F"/>
    <w:rsid w:val="007B512A"/>
    <w:rsid w:val="007C2097"/>
    <w:rsid w:val="007D5678"/>
    <w:rsid w:val="007D6A07"/>
    <w:rsid w:val="007F3161"/>
    <w:rsid w:val="007F7259"/>
    <w:rsid w:val="008040A8"/>
    <w:rsid w:val="00815CEA"/>
    <w:rsid w:val="00827156"/>
    <w:rsid w:val="008279FA"/>
    <w:rsid w:val="00840B08"/>
    <w:rsid w:val="00847F23"/>
    <w:rsid w:val="00853886"/>
    <w:rsid w:val="008626E7"/>
    <w:rsid w:val="00870EE7"/>
    <w:rsid w:val="00872A2C"/>
    <w:rsid w:val="00872F45"/>
    <w:rsid w:val="00874210"/>
    <w:rsid w:val="008831B3"/>
    <w:rsid w:val="008863B9"/>
    <w:rsid w:val="0088719E"/>
    <w:rsid w:val="00891F2C"/>
    <w:rsid w:val="0089575C"/>
    <w:rsid w:val="008A45A6"/>
    <w:rsid w:val="008A6159"/>
    <w:rsid w:val="008A732C"/>
    <w:rsid w:val="008C7708"/>
    <w:rsid w:val="008D3CCC"/>
    <w:rsid w:val="008E11E3"/>
    <w:rsid w:val="008F1933"/>
    <w:rsid w:val="008F3789"/>
    <w:rsid w:val="008F686C"/>
    <w:rsid w:val="00901B72"/>
    <w:rsid w:val="009051B5"/>
    <w:rsid w:val="00907E15"/>
    <w:rsid w:val="009148DE"/>
    <w:rsid w:val="0092043C"/>
    <w:rsid w:val="00925C5C"/>
    <w:rsid w:val="009261D6"/>
    <w:rsid w:val="009339DC"/>
    <w:rsid w:val="00941E30"/>
    <w:rsid w:val="00951EE3"/>
    <w:rsid w:val="00957852"/>
    <w:rsid w:val="00957D41"/>
    <w:rsid w:val="00960223"/>
    <w:rsid w:val="00970289"/>
    <w:rsid w:val="0097211F"/>
    <w:rsid w:val="00973D7E"/>
    <w:rsid w:val="009777D9"/>
    <w:rsid w:val="009843B7"/>
    <w:rsid w:val="00991B88"/>
    <w:rsid w:val="009A5753"/>
    <w:rsid w:val="009A579D"/>
    <w:rsid w:val="009C12D1"/>
    <w:rsid w:val="009C631C"/>
    <w:rsid w:val="009D2CE2"/>
    <w:rsid w:val="009D727C"/>
    <w:rsid w:val="009E3297"/>
    <w:rsid w:val="009E615D"/>
    <w:rsid w:val="009F24D6"/>
    <w:rsid w:val="009F3B1C"/>
    <w:rsid w:val="009F734F"/>
    <w:rsid w:val="00A05F24"/>
    <w:rsid w:val="00A12E0E"/>
    <w:rsid w:val="00A13CFD"/>
    <w:rsid w:val="00A175ED"/>
    <w:rsid w:val="00A246B6"/>
    <w:rsid w:val="00A30DEC"/>
    <w:rsid w:val="00A374C0"/>
    <w:rsid w:val="00A429CC"/>
    <w:rsid w:val="00A46FA0"/>
    <w:rsid w:val="00A47E70"/>
    <w:rsid w:val="00A50CF0"/>
    <w:rsid w:val="00A670F9"/>
    <w:rsid w:val="00A741EA"/>
    <w:rsid w:val="00A759CC"/>
    <w:rsid w:val="00A7671C"/>
    <w:rsid w:val="00A958FC"/>
    <w:rsid w:val="00AA078F"/>
    <w:rsid w:val="00AA2CBC"/>
    <w:rsid w:val="00AB09D4"/>
    <w:rsid w:val="00AC2A97"/>
    <w:rsid w:val="00AC5820"/>
    <w:rsid w:val="00AD06E6"/>
    <w:rsid w:val="00AD1CD8"/>
    <w:rsid w:val="00AE3816"/>
    <w:rsid w:val="00B22070"/>
    <w:rsid w:val="00B24F6A"/>
    <w:rsid w:val="00B258BB"/>
    <w:rsid w:val="00B30BA7"/>
    <w:rsid w:val="00B32C65"/>
    <w:rsid w:val="00B36669"/>
    <w:rsid w:val="00B43F9D"/>
    <w:rsid w:val="00B513E9"/>
    <w:rsid w:val="00B5684E"/>
    <w:rsid w:val="00B602B5"/>
    <w:rsid w:val="00B67B97"/>
    <w:rsid w:val="00B73007"/>
    <w:rsid w:val="00B7520B"/>
    <w:rsid w:val="00B90A70"/>
    <w:rsid w:val="00B968C8"/>
    <w:rsid w:val="00BA3EC5"/>
    <w:rsid w:val="00BA51D9"/>
    <w:rsid w:val="00BB04B9"/>
    <w:rsid w:val="00BB5DFC"/>
    <w:rsid w:val="00BD1437"/>
    <w:rsid w:val="00BD19C6"/>
    <w:rsid w:val="00BD279D"/>
    <w:rsid w:val="00BD6BB8"/>
    <w:rsid w:val="00BE191B"/>
    <w:rsid w:val="00BE2F55"/>
    <w:rsid w:val="00BE341C"/>
    <w:rsid w:val="00C40308"/>
    <w:rsid w:val="00C4057A"/>
    <w:rsid w:val="00C66BA2"/>
    <w:rsid w:val="00C83844"/>
    <w:rsid w:val="00C84A54"/>
    <w:rsid w:val="00C86B9A"/>
    <w:rsid w:val="00C870F6"/>
    <w:rsid w:val="00C95985"/>
    <w:rsid w:val="00CA1074"/>
    <w:rsid w:val="00CC13EE"/>
    <w:rsid w:val="00CC5026"/>
    <w:rsid w:val="00CC68D0"/>
    <w:rsid w:val="00CE2B69"/>
    <w:rsid w:val="00D03F9A"/>
    <w:rsid w:val="00D06D51"/>
    <w:rsid w:val="00D114C7"/>
    <w:rsid w:val="00D140E5"/>
    <w:rsid w:val="00D24991"/>
    <w:rsid w:val="00D40EBB"/>
    <w:rsid w:val="00D50255"/>
    <w:rsid w:val="00D610EF"/>
    <w:rsid w:val="00D6211D"/>
    <w:rsid w:val="00D66520"/>
    <w:rsid w:val="00D84AE9"/>
    <w:rsid w:val="00D858F5"/>
    <w:rsid w:val="00D94D47"/>
    <w:rsid w:val="00DA49EB"/>
    <w:rsid w:val="00DB4AA2"/>
    <w:rsid w:val="00DB56BC"/>
    <w:rsid w:val="00DD4501"/>
    <w:rsid w:val="00DE294B"/>
    <w:rsid w:val="00DE2BD1"/>
    <w:rsid w:val="00DE34CF"/>
    <w:rsid w:val="00DE37EF"/>
    <w:rsid w:val="00DF3C4E"/>
    <w:rsid w:val="00E046E8"/>
    <w:rsid w:val="00E13F3D"/>
    <w:rsid w:val="00E16E7E"/>
    <w:rsid w:val="00E24D16"/>
    <w:rsid w:val="00E31116"/>
    <w:rsid w:val="00E34898"/>
    <w:rsid w:val="00E37468"/>
    <w:rsid w:val="00E4793D"/>
    <w:rsid w:val="00E65C1C"/>
    <w:rsid w:val="00E66686"/>
    <w:rsid w:val="00E7418A"/>
    <w:rsid w:val="00EA6129"/>
    <w:rsid w:val="00EB09B7"/>
    <w:rsid w:val="00EC6F5E"/>
    <w:rsid w:val="00ED5C6F"/>
    <w:rsid w:val="00EE18BC"/>
    <w:rsid w:val="00EE40E4"/>
    <w:rsid w:val="00EE7D7C"/>
    <w:rsid w:val="00EF1E97"/>
    <w:rsid w:val="00F029F8"/>
    <w:rsid w:val="00F11672"/>
    <w:rsid w:val="00F24AE9"/>
    <w:rsid w:val="00F25D98"/>
    <w:rsid w:val="00F300FB"/>
    <w:rsid w:val="00F302D5"/>
    <w:rsid w:val="00F74C97"/>
    <w:rsid w:val="00F75900"/>
    <w:rsid w:val="00F81D4E"/>
    <w:rsid w:val="00F86C6C"/>
    <w:rsid w:val="00F93EDE"/>
    <w:rsid w:val="00F966A4"/>
    <w:rsid w:val="00FA217F"/>
    <w:rsid w:val="00FA579D"/>
    <w:rsid w:val="00FB07C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styleId="Mention">
    <w:name w:val="Mention"/>
    <w:basedOn w:val="DefaultParagraphFont"/>
    <w:uiPriority w:val="99"/>
    <w:unhideWhenUsed/>
    <w:rsid w:val="00067D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yperlink" Target="file:///C:/Data/3GPP/Extracts/R2-2303713%20(R18%20IoT-NTN%20WI%20AI%207.6.2.1)%20-%20disabling%20HARQ%20feedback.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commentsExtended" Target="commentsExtended.xml"/><Relationship Id="rId30" Type="http://schemas.openxmlformats.org/officeDocument/2006/relationships/hyperlink" Target="file:///C:/Data/3GPP/Extracts/R2-2302557.DOCX"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17455-AAA6-4F6F-89B7-5F8D16BA8D5E}">
  <ds:schemaRefs>
    <ds:schemaRef ds:uri="http://schemas.openxmlformats.org/officeDocument/2006/bibliography"/>
  </ds:schemaRefs>
</ds:datastoreItem>
</file>

<file path=customXml/itemProps4.xml><?xml version="1.0" encoding="utf-8"?>
<ds:datastoreItem xmlns:ds="http://schemas.openxmlformats.org/officeDocument/2006/customXml" ds:itemID="{83495EA9-9067-4D61-B8F6-A0CCBF400561}">
  <ds:schemaRef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d8762117-8292-4133-b1c7-eab5c6487cfd"/>
    <ds:schemaRef ds:uri="2f282d3b-eb4a-4b09-b61f-b9593442e286"/>
    <ds:schemaRef ds:uri="http://schemas.microsoft.com/office/2006/metadata/properties"/>
    <ds:schemaRef ds:uri="http://schemas.openxmlformats.org/package/2006/metadata/core-properties"/>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4</Pages>
  <Words>5905</Words>
  <Characters>33662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Rapportuer input RAN2#123</cp:lastModifiedBy>
  <cp:revision>20</cp:revision>
  <cp:lastPrinted>1900-01-01T08:00:00Z</cp:lastPrinted>
  <dcterms:created xsi:type="dcterms:W3CDTF">2023-06-28T21:21:00Z</dcterms:created>
  <dcterms:modified xsi:type="dcterms:W3CDTF">2023-08-11T09:51:00Z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ies>
</file>